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004B48" w14:textId="77777777" w:rsidR="005F1BD6" w:rsidRDefault="005F1BD6">
      <w:pPr>
        <w:rPr>
          <w:rFonts w:ascii="Times New Roman" w:eastAsia="Times New Roman" w:hAnsi="Times New Roman" w:cs="Times New Roman"/>
          <w:sz w:val="22"/>
          <w:szCs w:val="22"/>
        </w:rPr>
      </w:pPr>
      <w:bookmarkStart w:id="0" w:name="_GoBack"/>
      <w:bookmarkEnd w:id="0"/>
    </w:p>
    <w:p w14:paraId="75004B49" w14:textId="3B61A4FC" w:rsidR="005F1BD6" w:rsidRDefault="00E3283E">
      <w:pPr>
        <w:pBdr>
          <w:top w:val="nil"/>
          <w:left w:val="nil"/>
          <w:bottom w:val="nil"/>
          <w:right w:val="nil"/>
          <w:between w:val="nil"/>
        </w:pBd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Bogotá D.C., 1 de enero de 2025</w:t>
      </w:r>
    </w:p>
    <w:p w14:paraId="75004B4A" w14:textId="77777777" w:rsidR="005F1BD6" w:rsidRDefault="005F1BD6">
      <w:pPr>
        <w:ind w:left="1400" w:hanging="700"/>
        <w:rPr>
          <w:rFonts w:ascii="Times New Roman" w:eastAsia="Times New Roman" w:hAnsi="Times New Roman" w:cs="Times New Roman"/>
          <w:b/>
          <w:sz w:val="22"/>
          <w:szCs w:val="22"/>
        </w:rPr>
      </w:pPr>
    </w:p>
    <w:p w14:paraId="75004B4B" w14:textId="77777777" w:rsidR="005F1BD6" w:rsidRDefault="00E3283E">
      <w:pPr>
        <w:rPr>
          <w:rFonts w:ascii="Times New Roman" w:eastAsia="Times New Roman" w:hAnsi="Times New Roman" w:cs="Times New Roman"/>
          <w:b/>
          <w:sz w:val="22"/>
          <w:szCs w:val="22"/>
        </w:rPr>
      </w:pPr>
      <w:r>
        <w:rPr>
          <w:rFonts w:ascii="Times New Roman" w:eastAsia="Times New Roman" w:hAnsi="Times New Roman" w:cs="Times New Roman"/>
          <w:sz w:val="22"/>
          <w:szCs w:val="22"/>
        </w:rPr>
        <w:t>Doctora:</w:t>
      </w:r>
      <w:r>
        <w:rPr>
          <w:rFonts w:ascii="Times New Roman" w:eastAsia="Times New Roman" w:hAnsi="Times New Roman" w:cs="Times New Roman"/>
          <w:b/>
          <w:sz w:val="22"/>
          <w:szCs w:val="22"/>
        </w:rPr>
        <w:br/>
        <w:t xml:space="preserve">LUZ ANGÉLICA VIZCAINO SOLANO. </w:t>
      </w:r>
    </w:p>
    <w:p w14:paraId="75004B4C" w14:textId="77777777" w:rsidR="005F1BD6" w:rsidRDefault="00E3283E">
      <w:pPr>
        <w:rPr>
          <w:rFonts w:ascii="Times New Roman" w:eastAsia="Times New Roman" w:hAnsi="Times New Roman" w:cs="Times New Roman"/>
          <w:sz w:val="22"/>
          <w:szCs w:val="22"/>
        </w:rPr>
      </w:pPr>
      <w:r>
        <w:rPr>
          <w:rFonts w:ascii="Times New Roman" w:eastAsia="Times New Roman" w:hAnsi="Times New Roman" w:cs="Times New Roman"/>
          <w:sz w:val="22"/>
          <w:szCs w:val="22"/>
        </w:rPr>
        <w:t>Secretaria General de Organismo de Control.</w:t>
      </w:r>
    </w:p>
    <w:p w14:paraId="75004B4D" w14:textId="77777777" w:rsidR="005F1BD6" w:rsidRDefault="00E3283E">
      <w:pPr>
        <w:rPr>
          <w:rFonts w:ascii="Times New Roman" w:eastAsia="Times New Roman" w:hAnsi="Times New Roman" w:cs="Times New Roman"/>
          <w:sz w:val="22"/>
          <w:szCs w:val="22"/>
        </w:rPr>
      </w:pPr>
      <w:r>
        <w:rPr>
          <w:rFonts w:ascii="Times New Roman" w:eastAsia="Times New Roman" w:hAnsi="Times New Roman" w:cs="Times New Roman"/>
          <w:sz w:val="22"/>
          <w:szCs w:val="22"/>
        </w:rPr>
        <w:t>Concejo de Bogotá D.C.</w:t>
      </w:r>
    </w:p>
    <w:p w14:paraId="75004B4E" w14:textId="77777777" w:rsidR="005F1BD6" w:rsidRDefault="00E3283E">
      <w:pPr>
        <w:rPr>
          <w:rFonts w:ascii="Times New Roman" w:eastAsia="Times New Roman" w:hAnsi="Times New Roman" w:cs="Times New Roman"/>
          <w:sz w:val="22"/>
          <w:szCs w:val="22"/>
        </w:rPr>
      </w:pPr>
      <w:r>
        <w:rPr>
          <w:rFonts w:ascii="Times New Roman" w:eastAsia="Times New Roman" w:hAnsi="Times New Roman" w:cs="Times New Roman"/>
          <w:sz w:val="22"/>
          <w:szCs w:val="22"/>
        </w:rPr>
        <w:t>Ciudad.</w:t>
      </w:r>
    </w:p>
    <w:p w14:paraId="75004B4F" w14:textId="77777777" w:rsidR="005F1BD6" w:rsidRDefault="005F1BD6">
      <w:pPr>
        <w:rPr>
          <w:rFonts w:ascii="Times New Roman" w:eastAsia="Times New Roman" w:hAnsi="Times New Roman" w:cs="Times New Roman"/>
          <w:sz w:val="22"/>
          <w:szCs w:val="22"/>
        </w:rPr>
      </w:pPr>
    </w:p>
    <w:p w14:paraId="75004B50" w14:textId="77777777" w:rsidR="005F1BD6" w:rsidRDefault="00E3283E">
      <w:pPr>
        <w:jc w:val="right"/>
        <w:rPr>
          <w:rFonts w:ascii="Times New Roman" w:eastAsia="Times New Roman" w:hAnsi="Times New Roman" w:cs="Times New Roman"/>
          <w:sz w:val="22"/>
          <w:szCs w:val="22"/>
        </w:rPr>
      </w:pPr>
      <w:r>
        <w:rPr>
          <w:rFonts w:ascii="Times New Roman" w:eastAsia="Times New Roman" w:hAnsi="Times New Roman" w:cs="Times New Roman"/>
          <w:b/>
          <w:sz w:val="22"/>
          <w:szCs w:val="22"/>
        </w:rPr>
        <w:t xml:space="preserve">Asunto: </w:t>
      </w:r>
      <w:r>
        <w:rPr>
          <w:rFonts w:ascii="Times New Roman" w:eastAsia="Times New Roman" w:hAnsi="Times New Roman" w:cs="Times New Roman"/>
          <w:sz w:val="22"/>
          <w:szCs w:val="22"/>
        </w:rPr>
        <w:t>Radicación Proyecto de Acuerdo.</w:t>
      </w:r>
    </w:p>
    <w:p w14:paraId="75004B51" w14:textId="77777777" w:rsidR="005F1BD6" w:rsidRDefault="00E3283E">
      <w:pPr>
        <w:spacing w:after="240"/>
        <w:rPr>
          <w:rFonts w:ascii="Times New Roman" w:eastAsia="Times New Roman" w:hAnsi="Times New Roman" w:cs="Times New Roman"/>
          <w:sz w:val="22"/>
          <w:szCs w:val="22"/>
        </w:rPr>
      </w:pPr>
      <w:r>
        <w:rPr>
          <w:rFonts w:ascii="Times New Roman" w:eastAsia="Times New Roman" w:hAnsi="Times New Roman" w:cs="Times New Roman"/>
          <w:sz w:val="22"/>
          <w:szCs w:val="22"/>
        </w:rPr>
        <w:br/>
      </w:r>
    </w:p>
    <w:p w14:paraId="75004B52" w14:textId="77777777" w:rsidR="005F1BD6" w:rsidRDefault="00E3283E">
      <w:pPr>
        <w:rPr>
          <w:rFonts w:ascii="Times New Roman" w:eastAsia="Times New Roman" w:hAnsi="Times New Roman" w:cs="Times New Roman"/>
          <w:sz w:val="22"/>
          <w:szCs w:val="22"/>
        </w:rPr>
      </w:pPr>
      <w:r>
        <w:rPr>
          <w:rFonts w:ascii="Times New Roman" w:eastAsia="Times New Roman" w:hAnsi="Times New Roman" w:cs="Times New Roman"/>
          <w:sz w:val="22"/>
          <w:szCs w:val="22"/>
        </w:rPr>
        <w:t>Apreciada Doctora:</w:t>
      </w:r>
    </w:p>
    <w:p w14:paraId="75004B53" w14:textId="77777777" w:rsidR="005F1BD6" w:rsidRDefault="00E3283E">
      <w:pPr>
        <w:spacing w:after="240"/>
        <w:rPr>
          <w:rFonts w:ascii="Times New Roman" w:eastAsia="Times New Roman" w:hAnsi="Times New Roman" w:cs="Times New Roman"/>
          <w:sz w:val="22"/>
          <w:szCs w:val="22"/>
        </w:rPr>
      </w:pPr>
      <w:r>
        <w:rPr>
          <w:rFonts w:ascii="Times New Roman" w:eastAsia="Times New Roman" w:hAnsi="Times New Roman" w:cs="Times New Roman"/>
          <w:sz w:val="22"/>
          <w:szCs w:val="22"/>
        </w:rPr>
        <w:br/>
      </w:r>
    </w:p>
    <w:p w14:paraId="75004B54" w14:textId="77777777" w:rsidR="005F1BD6" w:rsidRDefault="00E3283E">
      <w:pPr>
        <w:jc w:val="both"/>
        <w:rPr>
          <w:rFonts w:ascii="Times New Roman" w:eastAsia="Times New Roman" w:hAnsi="Times New Roman" w:cs="Times New Roman"/>
          <w:b/>
          <w:sz w:val="22"/>
          <w:szCs w:val="22"/>
        </w:rPr>
      </w:pPr>
      <w:r>
        <w:rPr>
          <w:rFonts w:ascii="Times New Roman" w:eastAsia="Times New Roman" w:hAnsi="Times New Roman" w:cs="Times New Roman"/>
          <w:sz w:val="22"/>
          <w:szCs w:val="22"/>
        </w:rPr>
        <w:t xml:space="preserve">Por medio de la presente y de conformidad con lo dispuesto en los artículos 65, 66 y 67 del Acuerdo 741 de 2019, modificado por el Acuerdo 837 de 2022, me permito radicar ante su despacho el Proyecto de Acuerdo </w:t>
      </w:r>
      <w:r>
        <w:rPr>
          <w:rFonts w:ascii="Times New Roman" w:eastAsia="Times New Roman" w:hAnsi="Times New Roman" w:cs="Times New Roman"/>
          <w:b/>
          <w:i/>
          <w:sz w:val="22"/>
          <w:szCs w:val="22"/>
        </w:rPr>
        <w:t>“POR MEDIO DEL CUAL SE INCENTIVAN Y RECONOCEN LAS ACTIVIDADES DE LOS ESTABLECIMIENTOS DE COMERCIO QUE FAVORECEN LA SEGURIDAD Y LA CONVIVENCIA CIUDADANA EN BOGOTÁ D.C. Y SE DICTAN OTRAS DISPOSICIONES”</w:t>
      </w:r>
      <w:r>
        <w:rPr>
          <w:rFonts w:ascii="Times New Roman" w:eastAsia="Times New Roman" w:hAnsi="Times New Roman" w:cs="Times New Roman"/>
          <w:i/>
          <w:sz w:val="22"/>
          <w:szCs w:val="22"/>
        </w:rPr>
        <w:t>.</w:t>
      </w:r>
    </w:p>
    <w:p w14:paraId="75004B55" w14:textId="77777777" w:rsidR="005F1BD6" w:rsidRDefault="005F1BD6">
      <w:pPr>
        <w:jc w:val="both"/>
        <w:rPr>
          <w:rFonts w:ascii="Times New Roman" w:eastAsia="Times New Roman" w:hAnsi="Times New Roman" w:cs="Times New Roman"/>
          <w:sz w:val="22"/>
          <w:szCs w:val="22"/>
        </w:rPr>
      </w:pPr>
    </w:p>
    <w:p w14:paraId="75004B56" w14:textId="77777777" w:rsidR="005F1BD6" w:rsidRDefault="00E3283E">
      <w:pPr>
        <w:spacing w:after="240"/>
        <w:rPr>
          <w:rFonts w:ascii="Times New Roman" w:eastAsia="Times New Roman" w:hAnsi="Times New Roman" w:cs="Times New Roman"/>
          <w:sz w:val="22"/>
          <w:szCs w:val="22"/>
        </w:rPr>
      </w:pPr>
      <w:r>
        <w:rPr>
          <w:rFonts w:ascii="Times New Roman" w:eastAsia="Times New Roman" w:hAnsi="Times New Roman" w:cs="Times New Roman"/>
          <w:sz w:val="22"/>
          <w:szCs w:val="22"/>
        </w:rPr>
        <w:br/>
      </w:r>
      <w:r>
        <w:rPr>
          <w:rFonts w:ascii="Times New Roman" w:eastAsia="Times New Roman" w:hAnsi="Times New Roman" w:cs="Times New Roman"/>
          <w:sz w:val="22"/>
          <w:szCs w:val="22"/>
        </w:rPr>
        <w:br/>
      </w:r>
    </w:p>
    <w:p w14:paraId="75004B57" w14:textId="77777777" w:rsidR="005F1BD6" w:rsidRDefault="005F1BD6">
      <w:pPr>
        <w:rPr>
          <w:rFonts w:ascii="Times New Roman" w:eastAsia="Times New Roman" w:hAnsi="Times New Roman" w:cs="Times New Roman"/>
        </w:rPr>
      </w:pPr>
    </w:p>
    <w:p w14:paraId="75004B58" w14:textId="77777777" w:rsidR="005F1BD6" w:rsidRDefault="00E3283E">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Cordialmente,</w:t>
      </w:r>
    </w:p>
    <w:p w14:paraId="75004B59" w14:textId="73153F5A" w:rsidR="005F1BD6" w:rsidRDefault="005F1BD6">
      <w:pPr>
        <w:jc w:val="both"/>
        <w:rPr>
          <w:rFonts w:ascii="Times New Roman" w:eastAsia="Times New Roman" w:hAnsi="Times New Roman" w:cs="Times New Roman"/>
          <w:sz w:val="22"/>
          <w:szCs w:val="22"/>
        </w:rPr>
      </w:pPr>
    </w:p>
    <w:p w14:paraId="75004B5A" w14:textId="77777777" w:rsidR="005F1BD6" w:rsidRDefault="005F1BD6">
      <w:pPr>
        <w:jc w:val="both"/>
        <w:rPr>
          <w:rFonts w:ascii="Times New Roman" w:eastAsia="Times New Roman" w:hAnsi="Times New Roman" w:cs="Times New Roman"/>
          <w:sz w:val="22"/>
          <w:szCs w:val="22"/>
        </w:rPr>
      </w:pPr>
    </w:p>
    <w:p w14:paraId="75004B5B" w14:textId="77777777" w:rsidR="005F1BD6" w:rsidRDefault="005F1BD6">
      <w:pPr>
        <w:jc w:val="both"/>
        <w:rPr>
          <w:rFonts w:ascii="Times New Roman" w:eastAsia="Times New Roman" w:hAnsi="Times New Roman" w:cs="Times New Roman"/>
          <w:sz w:val="22"/>
          <w:szCs w:val="22"/>
        </w:rPr>
      </w:pPr>
    </w:p>
    <w:p w14:paraId="75004B5C" w14:textId="77777777" w:rsidR="005F1BD6" w:rsidRDefault="005F1BD6">
      <w:pPr>
        <w:jc w:val="both"/>
        <w:rPr>
          <w:rFonts w:ascii="Times New Roman" w:eastAsia="Times New Roman" w:hAnsi="Times New Roman" w:cs="Times New Roman"/>
          <w:sz w:val="22"/>
          <w:szCs w:val="22"/>
        </w:rPr>
      </w:pPr>
    </w:p>
    <w:p w14:paraId="75004B5D" w14:textId="77777777" w:rsidR="005F1BD6" w:rsidRDefault="005F1BD6">
      <w:pPr>
        <w:jc w:val="both"/>
        <w:rPr>
          <w:rFonts w:ascii="Times New Roman" w:eastAsia="Times New Roman" w:hAnsi="Times New Roman" w:cs="Times New Roman"/>
          <w:sz w:val="22"/>
          <w:szCs w:val="22"/>
        </w:rPr>
      </w:pPr>
    </w:p>
    <w:p w14:paraId="75004B5E" w14:textId="77777777" w:rsidR="005F1BD6" w:rsidRDefault="005F1BD6">
      <w:pPr>
        <w:jc w:val="both"/>
        <w:rPr>
          <w:rFonts w:ascii="Times New Roman" w:eastAsia="Times New Roman" w:hAnsi="Times New Roman" w:cs="Times New Roman"/>
          <w:sz w:val="22"/>
          <w:szCs w:val="22"/>
        </w:rPr>
      </w:pPr>
    </w:p>
    <w:p w14:paraId="75004B5F" w14:textId="77777777" w:rsidR="005F1BD6" w:rsidRDefault="005F1BD6">
      <w:pPr>
        <w:jc w:val="both"/>
        <w:rPr>
          <w:rFonts w:ascii="Times New Roman" w:eastAsia="Times New Roman" w:hAnsi="Times New Roman" w:cs="Times New Roman"/>
          <w:sz w:val="22"/>
          <w:szCs w:val="22"/>
        </w:rPr>
      </w:pPr>
    </w:p>
    <w:p w14:paraId="75004B60" w14:textId="77777777" w:rsidR="005F1BD6" w:rsidRDefault="005F1BD6">
      <w:pPr>
        <w:jc w:val="both"/>
        <w:rPr>
          <w:rFonts w:ascii="Times New Roman" w:eastAsia="Times New Roman" w:hAnsi="Times New Roman" w:cs="Times New Roman"/>
          <w:sz w:val="22"/>
          <w:szCs w:val="22"/>
        </w:rPr>
      </w:pPr>
    </w:p>
    <w:p w14:paraId="75004B61" w14:textId="77777777" w:rsidR="005F1BD6" w:rsidRDefault="00E3283E">
      <w:pPr>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t>JULIÁN DAVID RODRÍGUEZ SASTOQUE.</w:t>
      </w:r>
    </w:p>
    <w:p w14:paraId="75004B62" w14:textId="77777777" w:rsidR="005F1BD6" w:rsidRDefault="00E3283E">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Concejal de Bogotá D.C.</w:t>
      </w:r>
    </w:p>
    <w:p w14:paraId="75004B63" w14:textId="77777777" w:rsidR="005F1BD6" w:rsidRDefault="00E3283E">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Partido Alianza Verde</w:t>
      </w:r>
    </w:p>
    <w:p w14:paraId="75004B64" w14:textId="77777777" w:rsidR="005F1BD6" w:rsidRDefault="005F1BD6">
      <w:pPr>
        <w:jc w:val="both"/>
        <w:rPr>
          <w:rFonts w:ascii="Times New Roman" w:eastAsia="Times New Roman" w:hAnsi="Times New Roman" w:cs="Times New Roman"/>
          <w:sz w:val="22"/>
          <w:szCs w:val="22"/>
        </w:rPr>
      </w:pPr>
    </w:p>
    <w:p w14:paraId="75004B65" w14:textId="77777777" w:rsidR="005F1BD6" w:rsidRDefault="005F1BD6">
      <w:pPr>
        <w:jc w:val="both"/>
        <w:rPr>
          <w:rFonts w:ascii="Times New Roman" w:eastAsia="Times New Roman" w:hAnsi="Times New Roman" w:cs="Times New Roman"/>
          <w:sz w:val="22"/>
          <w:szCs w:val="22"/>
        </w:rPr>
      </w:pPr>
    </w:p>
    <w:p w14:paraId="75004B66" w14:textId="609CB9F0" w:rsidR="005F1BD6" w:rsidRDefault="00E3283E">
      <w:pPr>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PROYECTO DE ACUERDO No. 328 DE  2025</w:t>
      </w:r>
    </w:p>
    <w:p w14:paraId="75004B67" w14:textId="77777777" w:rsidR="005F1BD6" w:rsidRDefault="005F1BD6">
      <w:pPr>
        <w:jc w:val="center"/>
        <w:rPr>
          <w:rFonts w:ascii="Times New Roman" w:eastAsia="Times New Roman" w:hAnsi="Times New Roman" w:cs="Times New Roman"/>
          <w:b/>
          <w:sz w:val="22"/>
          <w:szCs w:val="22"/>
        </w:rPr>
      </w:pPr>
    </w:p>
    <w:p w14:paraId="75004B68" w14:textId="77777777" w:rsidR="005F1BD6" w:rsidRDefault="00E3283E">
      <w:pPr>
        <w:jc w:val="center"/>
        <w:rPr>
          <w:rFonts w:ascii="Times New Roman" w:eastAsia="Times New Roman" w:hAnsi="Times New Roman" w:cs="Times New Roman"/>
          <w:b/>
          <w:sz w:val="22"/>
          <w:szCs w:val="22"/>
        </w:rPr>
      </w:pPr>
      <w:r>
        <w:rPr>
          <w:rFonts w:ascii="Times New Roman" w:eastAsia="Times New Roman" w:hAnsi="Times New Roman" w:cs="Times New Roman"/>
          <w:b/>
          <w:i/>
        </w:rPr>
        <w:t>“POR MEDIO DEL CUAL SE INCENTIVAN Y RECONOCEN LAS ACTIVIDADES DE LOS ESTABLECIMIENTOS DE COMERCIO QUE FAVORECEN LA SEGURIDAD Y LA CONVIVENCIA CIUDADANA EN BOGOTÁ D.C. Y SE DICTAN OTRAS DISPOSICIONES”</w:t>
      </w:r>
    </w:p>
    <w:p w14:paraId="75004B69" w14:textId="77777777" w:rsidR="005F1BD6" w:rsidRDefault="005F1BD6">
      <w:pPr>
        <w:rPr>
          <w:rFonts w:ascii="Times New Roman" w:eastAsia="Times New Roman" w:hAnsi="Times New Roman" w:cs="Times New Roman"/>
          <w:b/>
          <w:sz w:val="22"/>
          <w:szCs w:val="22"/>
        </w:rPr>
      </w:pPr>
    </w:p>
    <w:p w14:paraId="75004B6A" w14:textId="77777777" w:rsidR="005F1BD6" w:rsidRDefault="005F1BD6">
      <w:pPr>
        <w:jc w:val="both"/>
        <w:rPr>
          <w:rFonts w:ascii="Times New Roman" w:eastAsia="Times New Roman" w:hAnsi="Times New Roman" w:cs="Times New Roman"/>
        </w:rPr>
      </w:pPr>
    </w:p>
    <w:p w14:paraId="75004B6B" w14:textId="77777777" w:rsidR="005F1BD6" w:rsidRDefault="00E3283E">
      <w:pPr>
        <w:numPr>
          <w:ilvl w:val="0"/>
          <w:numId w:val="1"/>
        </w:numPr>
        <w:pBdr>
          <w:top w:val="nil"/>
          <w:left w:val="nil"/>
          <w:bottom w:val="nil"/>
          <w:right w:val="nil"/>
          <w:between w:val="nil"/>
        </w:pBdr>
        <w:jc w:val="both"/>
        <w:rPr>
          <w:rFonts w:ascii="Times New Roman" w:eastAsia="Times New Roman" w:hAnsi="Times New Roman" w:cs="Times New Roman"/>
          <w:b/>
          <w:color w:val="000000"/>
        </w:rPr>
      </w:pPr>
      <w:r>
        <w:rPr>
          <w:rFonts w:ascii="Times New Roman" w:eastAsia="Times New Roman" w:hAnsi="Times New Roman" w:cs="Times New Roman"/>
          <w:b/>
          <w:color w:val="000000"/>
        </w:rPr>
        <w:t>OBJETO DEL PROYECTO</w:t>
      </w:r>
    </w:p>
    <w:p w14:paraId="75004B6C" w14:textId="77777777" w:rsidR="005F1BD6" w:rsidRDefault="00E3283E">
      <w:pPr>
        <w:jc w:val="both"/>
        <w:rPr>
          <w:rFonts w:ascii="Times New Roman" w:eastAsia="Times New Roman" w:hAnsi="Times New Roman" w:cs="Times New Roman"/>
          <w:b/>
        </w:rPr>
      </w:pPr>
      <w:r>
        <w:rPr>
          <w:rFonts w:ascii="Times New Roman" w:eastAsia="Times New Roman" w:hAnsi="Times New Roman" w:cs="Times New Roman"/>
          <w:b/>
        </w:rPr>
        <w:t xml:space="preserve"> </w:t>
      </w:r>
    </w:p>
    <w:p w14:paraId="75004B6D" w14:textId="77777777" w:rsidR="005F1BD6" w:rsidRDefault="00E3283E">
      <w:pPr>
        <w:spacing w:line="360" w:lineRule="auto"/>
        <w:jc w:val="both"/>
        <w:rPr>
          <w:rFonts w:ascii="Times New Roman" w:eastAsia="Times New Roman" w:hAnsi="Times New Roman" w:cs="Times New Roman"/>
        </w:rPr>
      </w:pPr>
      <w:r>
        <w:rPr>
          <w:rFonts w:ascii="Times New Roman" w:eastAsia="Times New Roman" w:hAnsi="Times New Roman" w:cs="Times New Roman"/>
        </w:rPr>
        <w:t>El presente Proyecto de Acuerdo pretende garantizar que se cumpla lo establecido en el artículo 248 del Acuerdo 079 de 2003, especialmente en lo que corresponde a que la Administración Distrital implemente programas, proyectos o políticas que estimulen, promuevan o reconozcan actividades favorables a la convivencia y a la seguridad ciudadana que realicen los establecimientos de comercio que se dedican al expendio de bebidas embriagantes y/o alcohólicas.</w:t>
      </w:r>
    </w:p>
    <w:p w14:paraId="75004B6E" w14:textId="77777777" w:rsidR="005F1BD6" w:rsidRDefault="00E3283E">
      <w:pPr>
        <w:spacing w:line="36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B6F" w14:textId="77777777" w:rsidR="005F1BD6" w:rsidRDefault="00E3283E">
      <w:pPr>
        <w:spacing w:line="360" w:lineRule="auto"/>
        <w:jc w:val="both"/>
        <w:rPr>
          <w:rFonts w:ascii="Times New Roman" w:eastAsia="Times New Roman" w:hAnsi="Times New Roman" w:cs="Times New Roman"/>
        </w:rPr>
      </w:pPr>
      <w:r>
        <w:rPr>
          <w:rFonts w:ascii="Times New Roman" w:eastAsia="Times New Roman" w:hAnsi="Times New Roman" w:cs="Times New Roman"/>
        </w:rPr>
        <w:t>En este sentido, el Distrito Capital a través de los sectores de Gobierno; Seguridad, Convivencia y Justicia; Desarrollo Económico, Industria y Turismo; Cultura, Recreación y Deporte; Ambiente y Mujer de la Alcaldía Mayor de Bogotá, queda obligado como política distrital a establecer un marco de actividades, reconocimientos e incentivos en las cuales puedan participar los establecimientos de comercio particulares que deseen contribuir con entornos de rumba seguros, esto es en la realización de diversas actividades que aporten en la seguridad y convivencia de los ciudadanos, a través de actos que pueden prevenir delitos y conductas contrarias a la convivencia, que pueden ir desde: riñas, hurtos, lesiones personales, actos de discriminación y violencia de género, hasta el respeto y cuidado del espacio público o la disposición de residuos; todo en el marco de un trabajo mancomunado entre el sector privado y las autoridades.</w:t>
      </w:r>
    </w:p>
    <w:p w14:paraId="75004B70" w14:textId="77777777" w:rsidR="005F1BD6" w:rsidRDefault="00E3283E">
      <w:pPr>
        <w:spacing w:line="360" w:lineRule="auto"/>
        <w:jc w:val="both"/>
        <w:rPr>
          <w:rFonts w:ascii="Times New Roman" w:eastAsia="Times New Roman" w:hAnsi="Times New Roman" w:cs="Times New Roman"/>
        </w:rPr>
      </w:pPr>
      <w:r>
        <w:rPr>
          <w:rFonts w:ascii="Times New Roman" w:eastAsia="Times New Roman" w:hAnsi="Times New Roman" w:cs="Times New Roman"/>
        </w:rPr>
        <w:lastRenderedPageBreak/>
        <w:t xml:space="preserve"> </w:t>
      </w:r>
    </w:p>
    <w:p w14:paraId="75004B71" w14:textId="77777777" w:rsidR="005F1BD6" w:rsidRDefault="00E3283E">
      <w:pPr>
        <w:spacing w:line="360" w:lineRule="auto"/>
        <w:jc w:val="both"/>
        <w:rPr>
          <w:rFonts w:ascii="Times New Roman" w:eastAsia="Times New Roman" w:hAnsi="Times New Roman" w:cs="Times New Roman"/>
        </w:rPr>
      </w:pPr>
      <w:r>
        <w:rPr>
          <w:rFonts w:ascii="Times New Roman" w:eastAsia="Times New Roman" w:hAnsi="Times New Roman" w:cs="Times New Roman"/>
        </w:rPr>
        <w:t>Algunos de los incentivos o beneficios que pueden obtener los establecimientos de comercio son: 1) Extensión diferencial de los horarios para el expendio y/o consumo de bebidas alcohólicas y embriagantes; 2) Sello de reconocimiento al establecimiento por la promoción y generación de comportamientos favorables a la convivencia y seguridad ciudadana; 3) Participación en las agendas culturales, de promoción al emprendimiento y de otras actividades del Distrito con participación del público; 4) Participación en portafolios de estímulos en materia cultural, económica y turística creados por la Administración Distrital, con la posibilidad de obtener puntajes adicionales; así como otros incentivos que considere crear la administración distrital.</w:t>
      </w:r>
    </w:p>
    <w:p w14:paraId="75004B72" w14:textId="77777777" w:rsidR="005F1BD6" w:rsidRDefault="00E3283E">
      <w:pPr>
        <w:spacing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 </w:t>
      </w:r>
    </w:p>
    <w:p w14:paraId="75004B73" w14:textId="77777777" w:rsidR="005F1BD6" w:rsidRDefault="005F1BD6">
      <w:pPr>
        <w:spacing w:line="360" w:lineRule="auto"/>
        <w:jc w:val="both"/>
        <w:rPr>
          <w:rFonts w:ascii="Times New Roman" w:eastAsia="Times New Roman" w:hAnsi="Times New Roman" w:cs="Times New Roman"/>
          <w:b/>
        </w:rPr>
      </w:pPr>
    </w:p>
    <w:p w14:paraId="75004B74" w14:textId="77777777" w:rsidR="005F1BD6" w:rsidRDefault="00E3283E">
      <w:pPr>
        <w:numPr>
          <w:ilvl w:val="0"/>
          <w:numId w:val="1"/>
        </w:numPr>
        <w:pBdr>
          <w:top w:val="nil"/>
          <w:left w:val="nil"/>
          <w:bottom w:val="nil"/>
          <w:right w:val="nil"/>
          <w:between w:val="nil"/>
        </w:pBdr>
        <w:spacing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EXPOSICIÓN DE MOTIVOS</w:t>
      </w:r>
    </w:p>
    <w:p w14:paraId="75004B75" w14:textId="77777777" w:rsidR="005F1BD6" w:rsidRDefault="00E3283E">
      <w:pPr>
        <w:spacing w:line="360" w:lineRule="auto"/>
        <w:ind w:left="60"/>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B76" w14:textId="77777777" w:rsidR="005F1BD6" w:rsidRDefault="00E3283E">
      <w:pPr>
        <w:spacing w:before="120" w:after="120" w:line="360" w:lineRule="auto"/>
        <w:jc w:val="both"/>
        <w:rPr>
          <w:rFonts w:ascii="Times New Roman" w:eastAsia="Times New Roman" w:hAnsi="Times New Roman" w:cs="Times New Roman"/>
        </w:rPr>
      </w:pPr>
      <w:r>
        <w:rPr>
          <w:rFonts w:ascii="Times New Roman" w:eastAsia="Times New Roman" w:hAnsi="Times New Roman" w:cs="Times New Roman"/>
        </w:rPr>
        <w:t>El establecimiento de incentivos, reconocimientos o estímulos por las actividades que generan réditos prosociales, constituye un giro en la forma de diseño de políticas públicas, puesto que ha venido primando una idea de castigo como mecanismo principal para el logro de determinadas finalidades sociales. Sin embargo, lo cierto es que cada vez más queda en evidencia que acudir exclusivamente a instrumentos negativos para condicionar o coaccionar los comportamientos favorables de los individuos en sociedad es insuficiente, además de que desvirtúa una comprensión que pretenda garantizar la mayor libertad posible en el marco de un Estado Social y Democrático de Derecho como el colombiano.</w:t>
      </w:r>
    </w:p>
    <w:p w14:paraId="75004B77" w14:textId="77777777" w:rsidR="005F1BD6" w:rsidRDefault="00E3283E">
      <w:pPr>
        <w:spacing w:before="120" w:after="120" w:line="360" w:lineRule="auto"/>
        <w:jc w:val="both"/>
        <w:rPr>
          <w:rFonts w:ascii="Times New Roman" w:eastAsia="Times New Roman" w:hAnsi="Times New Roman" w:cs="Times New Roman"/>
        </w:rPr>
      </w:pPr>
      <w:r>
        <w:rPr>
          <w:rFonts w:ascii="Times New Roman" w:eastAsia="Times New Roman" w:hAnsi="Times New Roman" w:cs="Times New Roman"/>
        </w:rPr>
        <w:t xml:space="preserve">Aun así, la idea de promover conductas socialmente valiosas por parte de los individuos, sin tener que recurrir al miedo o coacción psicológica en que se basa la idea de castigo, sino acudir a mecanismos positivos basados en estímulos o incentivos no es tampoco </w:t>
      </w:r>
      <w:r>
        <w:rPr>
          <w:rFonts w:ascii="Times New Roman" w:eastAsia="Times New Roman" w:hAnsi="Times New Roman" w:cs="Times New Roman"/>
        </w:rPr>
        <w:lastRenderedPageBreak/>
        <w:t>absolutamente novedosa, esta se encuentra en la base del utilitarismo racionalista y depositada desde hace más de siglo y medio en nuestro Código Civil, que señala:</w:t>
      </w:r>
    </w:p>
    <w:p w14:paraId="75004B78" w14:textId="77777777" w:rsidR="005F1BD6" w:rsidRDefault="00E3283E">
      <w:pPr>
        <w:tabs>
          <w:tab w:val="left" w:pos="7230"/>
        </w:tabs>
        <w:spacing w:before="120" w:after="120"/>
        <w:ind w:left="560" w:right="51"/>
        <w:jc w:val="both"/>
        <w:rPr>
          <w:rFonts w:ascii="Times New Roman" w:eastAsia="Times New Roman" w:hAnsi="Times New Roman" w:cs="Times New Roman"/>
          <w:i/>
        </w:rPr>
      </w:pPr>
      <w:r>
        <w:rPr>
          <w:rFonts w:ascii="Times New Roman" w:eastAsia="Times New Roman" w:hAnsi="Times New Roman" w:cs="Times New Roman"/>
          <w:i/>
        </w:rPr>
        <w:t xml:space="preserve">“ARTÍCULO 6o. &lt;SANCIÓN Y NULIDAD&gt;. La sanción legal no es sólo la pena </w:t>
      </w:r>
      <w:r>
        <w:rPr>
          <w:rFonts w:ascii="Times New Roman" w:eastAsia="Times New Roman" w:hAnsi="Times New Roman" w:cs="Times New Roman"/>
          <w:b/>
          <w:i/>
          <w:u w:val="single"/>
        </w:rPr>
        <w:t>sino también la recompensa</w:t>
      </w:r>
      <w:r>
        <w:rPr>
          <w:rFonts w:ascii="Times New Roman" w:eastAsia="Times New Roman" w:hAnsi="Times New Roman" w:cs="Times New Roman"/>
          <w:i/>
        </w:rPr>
        <w:t xml:space="preserve">; </w:t>
      </w:r>
      <w:r>
        <w:rPr>
          <w:rFonts w:ascii="Times New Roman" w:eastAsia="Times New Roman" w:hAnsi="Times New Roman" w:cs="Times New Roman"/>
          <w:i/>
          <w:u w:val="single"/>
        </w:rPr>
        <w:t xml:space="preserve">es el bien </w:t>
      </w:r>
      <w:r>
        <w:rPr>
          <w:rFonts w:ascii="Times New Roman" w:eastAsia="Times New Roman" w:hAnsi="Times New Roman" w:cs="Times New Roman"/>
          <w:i/>
        </w:rPr>
        <w:t xml:space="preserve">o el mal que se deriva </w:t>
      </w:r>
      <w:r>
        <w:rPr>
          <w:rFonts w:ascii="Times New Roman" w:eastAsia="Times New Roman" w:hAnsi="Times New Roman" w:cs="Times New Roman"/>
          <w:b/>
          <w:i/>
        </w:rPr>
        <w:t xml:space="preserve">como consecuencia del cumplimiento de sus mandatos </w:t>
      </w:r>
      <w:r>
        <w:rPr>
          <w:rFonts w:ascii="Times New Roman" w:eastAsia="Times New Roman" w:hAnsi="Times New Roman" w:cs="Times New Roman"/>
          <w:i/>
        </w:rPr>
        <w:t>o de la transgresión de sus prohibiciones.</w:t>
      </w:r>
    </w:p>
    <w:p w14:paraId="75004B79" w14:textId="77777777" w:rsidR="005F1BD6" w:rsidRDefault="00E3283E">
      <w:pPr>
        <w:tabs>
          <w:tab w:val="left" w:pos="7230"/>
        </w:tabs>
        <w:spacing w:before="120" w:after="120"/>
        <w:ind w:left="560" w:right="51"/>
        <w:jc w:val="both"/>
        <w:rPr>
          <w:rFonts w:ascii="Times New Roman" w:eastAsia="Times New Roman" w:hAnsi="Times New Roman" w:cs="Times New Roman"/>
          <w:i/>
        </w:rPr>
      </w:pPr>
      <w:r>
        <w:rPr>
          <w:rFonts w:ascii="Times New Roman" w:eastAsia="Times New Roman" w:hAnsi="Times New Roman" w:cs="Times New Roman"/>
          <w:i/>
        </w:rPr>
        <w:t>En materia civil son nulos los actos ejecutados contra expresa prohibición de la ley, si en ella misma no se dispone otra cosa. Esta nulidad, así como la validez y firmeza de los que se arreglan a la ley, constituyen suficientes penas y recompensas, aparte de las que se estipulan en los contratos.”</w:t>
      </w:r>
    </w:p>
    <w:p w14:paraId="75004B7A" w14:textId="77777777" w:rsidR="005F1BD6" w:rsidRDefault="00E3283E">
      <w:pPr>
        <w:spacing w:before="120" w:after="120" w:line="360" w:lineRule="auto"/>
        <w:jc w:val="both"/>
        <w:rPr>
          <w:rFonts w:ascii="Times New Roman" w:eastAsia="Times New Roman" w:hAnsi="Times New Roman" w:cs="Times New Roman"/>
        </w:rPr>
      </w:pPr>
      <w:r>
        <w:rPr>
          <w:rFonts w:ascii="Times New Roman" w:eastAsia="Times New Roman" w:hAnsi="Times New Roman" w:cs="Times New Roman"/>
        </w:rPr>
        <w:t>Efectivamente, el Derecho colombiano prevé la comprensión de sanción no solamente de forma negativa, sino también en el reconocimiento que el Estado realiza hacia los ciudadanos que cumple la ley. En este sentido, el Concejo de Bogotá al expedir el Acuerdo 079 de 2003 “</w:t>
      </w:r>
      <w:r>
        <w:rPr>
          <w:rFonts w:ascii="Times New Roman" w:eastAsia="Times New Roman" w:hAnsi="Times New Roman" w:cs="Times New Roman"/>
          <w:i/>
        </w:rPr>
        <w:t>Por el cual se expide el Código de Policía de Bogotá D.C.</w:t>
      </w:r>
      <w:r>
        <w:rPr>
          <w:rFonts w:ascii="Times New Roman" w:eastAsia="Times New Roman" w:hAnsi="Times New Roman" w:cs="Times New Roman"/>
        </w:rPr>
        <w:t>” reconoció en el marco de un derecho policía pensando desde su labor principalmente pedagógica y de formación del ciudadano, que en Bogotá debían establecerse estímulos por los compartimentos que favorecen la civilidad y la convivencia social.</w:t>
      </w:r>
    </w:p>
    <w:p w14:paraId="75004B7B" w14:textId="77777777" w:rsidR="005F1BD6" w:rsidRDefault="00E3283E">
      <w:pPr>
        <w:spacing w:before="120" w:after="120" w:line="360" w:lineRule="auto"/>
        <w:jc w:val="both"/>
        <w:rPr>
          <w:rFonts w:ascii="Times New Roman" w:eastAsia="Times New Roman" w:hAnsi="Times New Roman" w:cs="Times New Roman"/>
        </w:rPr>
      </w:pPr>
      <w:r>
        <w:rPr>
          <w:rFonts w:ascii="Times New Roman" w:eastAsia="Times New Roman" w:hAnsi="Times New Roman" w:cs="Times New Roman"/>
        </w:rPr>
        <w:t>Sobre la formación ciudadana estableció:</w:t>
      </w:r>
    </w:p>
    <w:p w14:paraId="75004B7C"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b/>
          <w:i/>
          <w:highlight w:val="white"/>
        </w:rPr>
        <w:t xml:space="preserve">“ARTÍCULO </w:t>
      </w:r>
      <w:r>
        <w:rPr>
          <w:rFonts w:ascii="Times New Roman" w:eastAsia="Times New Roman" w:hAnsi="Times New Roman" w:cs="Times New Roman"/>
          <w:i/>
          <w:highlight w:val="white"/>
        </w:rPr>
        <w:t xml:space="preserve"> </w:t>
      </w:r>
      <w:r>
        <w:rPr>
          <w:rFonts w:ascii="Times New Roman" w:eastAsia="Times New Roman" w:hAnsi="Times New Roman" w:cs="Times New Roman"/>
          <w:b/>
          <w:i/>
          <w:highlight w:val="white"/>
        </w:rPr>
        <w:t>244- Formación Ciudadana.</w:t>
      </w:r>
      <w:r>
        <w:rPr>
          <w:rFonts w:ascii="Times New Roman" w:eastAsia="Times New Roman" w:hAnsi="Times New Roman" w:cs="Times New Roman"/>
          <w:i/>
          <w:highlight w:val="white"/>
        </w:rPr>
        <w:t xml:space="preserve"> La convivencia ciudadana en el Distrito Capital de Bogotá contará con bases más sólidas si se fundamenta en la convicción de cada persona sobre la necesidad de aplicar las reglas que garantizarán una mejor calidad de vida y en el control sobre su cumplimiento social y cultural por parte de la comunidad, más que en la amenaza de castigos contenida en las normas represivas. Por ello la cultura ciudadana y democrática es el elemento esencial para construirla.”</w:t>
      </w:r>
    </w:p>
    <w:p w14:paraId="75004B7D" w14:textId="77777777" w:rsidR="005F1BD6" w:rsidRDefault="00E3283E">
      <w:pPr>
        <w:spacing w:before="120" w:after="120" w:line="360" w:lineRule="auto"/>
        <w:jc w:val="both"/>
        <w:rPr>
          <w:rFonts w:ascii="Times New Roman" w:eastAsia="Times New Roman" w:hAnsi="Times New Roman" w:cs="Times New Roman"/>
        </w:rPr>
      </w:pPr>
      <w:r>
        <w:rPr>
          <w:rFonts w:ascii="Times New Roman" w:eastAsia="Times New Roman" w:hAnsi="Times New Roman" w:cs="Times New Roman"/>
        </w:rPr>
        <w:t>En lo que corresponde a los estímulos, este Concejo de Bogotá dispuso que las autoridades distritales estaban en el deber de reconocer y estimular los actos que favorecen la convivencia ciudadana, instrumento que resulta novedoso tanto para el antiguo régimen de derecho de policía de 1970, como en el marco de la Ley 1801 de 2016. Sobre este particular señaló:</w:t>
      </w:r>
    </w:p>
    <w:p w14:paraId="75004B7E"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lastRenderedPageBreak/>
        <w:t>“ARTÍCULO 248.- Estímulos a los comportamientos que favorecen la Convivencia Ciudadana. Los comportamientos que favorecen la convivencia ciudadana de las personas en el distrito previstos en este Código, deben ser reconocidos y estimulados por las autoridades distritales. Serán especialmente reconocidos, entro otros, los siguientes:</w:t>
      </w:r>
    </w:p>
    <w:p w14:paraId="75004B7F"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1. Denunciar la publicidad exterior visual contaminante, violaciones al espacio público, el ambiente y el patrimonio cultural y premiar las acciones populares de denuncia de comportamientos contrarios a la convivencia;</w:t>
      </w:r>
    </w:p>
    <w:p w14:paraId="75004B80"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2. Premiar experiencias de autorregulación ciudadana;</w:t>
      </w:r>
    </w:p>
    <w:p w14:paraId="75004B81"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3. Conferir incentivos a quienes reutilicen los escombros y a las actividades organizadas de reciclaje de residuos sólidos; para ello los recicladores tendrán una forma de identificación;</w:t>
      </w:r>
    </w:p>
    <w:p w14:paraId="75004B82"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4. Estimular a quienes utilicen empaques biodegradables o reutilizables para las residuos sólidos y desechos;</w:t>
      </w:r>
    </w:p>
    <w:p w14:paraId="75004B83"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5. Crear incentivos para personas e instituciones que desarrollen o impulsen la cultura ciudadana y democrática en sus diversas manifestaciones y ofrecer estímulos especiales a personas e instituciones que ejerzan estas actividades;</w:t>
      </w:r>
    </w:p>
    <w:p w14:paraId="75004B84"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6. Estimular las actividades culturales que promuevan una cultura de paz fundada en los valores universales de la persona humana, comportamientos solidarios, altruistas y promotores de formas no agresivas de solucionar los conflictos,</w:t>
      </w:r>
    </w:p>
    <w:p w14:paraId="75004B85"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7. Fomentar las acciones tendientes a hacer efectivo el derecho preferente de las niñas y los niños para acceder a la cultura en todas aquellas manifestaciones que sean apropiadas para el desarrollo de sus valores éticos, estéticos, ecológicos y culturales, y para su protección de toda forma de maltrato, abuso y explotación sexual.</w:t>
      </w:r>
    </w:p>
    <w:p w14:paraId="75004B86"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8. Conferir incentivos por el adecuado uso y aprovechamiento del medio ambiente y de los recursos naturales renovables y por la recuperación y conservación de ecosistemas por propietarios privados.”</w:t>
      </w:r>
    </w:p>
    <w:p w14:paraId="75004B87" w14:textId="77777777" w:rsidR="005F1BD6" w:rsidRDefault="00E3283E">
      <w:pPr>
        <w:spacing w:before="120" w:after="120" w:line="360" w:lineRule="auto"/>
        <w:ind w:right="100"/>
        <w:jc w:val="both"/>
        <w:rPr>
          <w:rFonts w:ascii="Times New Roman" w:eastAsia="Times New Roman" w:hAnsi="Times New Roman" w:cs="Times New Roman"/>
        </w:rPr>
      </w:pPr>
      <w:r>
        <w:rPr>
          <w:rFonts w:ascii="Times New Roman" w:eastAsia="Times New Roman" w:hAnsi="Times New Roman" w:cs="Times New Roman"/>
        </w:rPr>
        <w:t>Pese a lo anterior, pocas veces se han utilizado estímulos como mecanismo de arquitectura pública en el Distrito, tendientes a favorecer comportamientos que contribuyan a una mejor dinámica social.</w:t>
      </w:r>
    </w:p>
    <w:p w14:paraId="75004B88" w14:textId="77777777" w:rsidR="005F1BD6" w:rsidRDefault="00E3283E">
      <w:pPr>
        <w:spacing w:before="120" w:after="120" w:line="360" w:lineRule="auto"/>
        <w:ind w:right="100"/>
        <w:jc w:val="both"/>
        <w:rPr>
          <w:rFonts w:ascii="Times New Roman" w:eastAsia="Times New Roman" w:hAnsi="Times New Roman" w:cs="Times New Roman"/>
        </w:rPr>
      </w:pPr>
      <w:r>
        <w:rPr>
          <w:rFonts w:ascii="Times New Roman" w:eastAsia="Times New Roman" w:hAnsi="Times New Roman" w:cs="Times New Roman"/>
        </w:rPr>
        <w:lastRenderedPageBreak/>
        <w:t xml:space="preserve">Es más, debe señalarse que desde la literatura científica especializada se ha considerado como fundamental el acudir a incentivos por parte de los tomadores de decisiones públicos. Particularmente en el célebre texto de </w:t>
      </w:r>
      <w:r>
        <w:rPr>
          <w:rFonts w:ascii="Times New Roman" w:eastAsia="Times New Roman" w:hAnsi="Times New Roman" w:cs="Times New Roman"/>
          <w:i/>
        </w:rPr>
        <w:t>Richard H. Thaler</w:t>
      </w:r>
      <w:r>
        <w:rPr>
          <w:rFonts w:ascii="Times New Roman" w:eastAsia="Times New Roman" w:hAnsi="Times New Roman" w:cs="Times New Roman"/>
        </w:rPr>
        <w:t xml:space="preserve"> y </w:t>
      </w:r>
      <w:r>
        <w:rPr>
          <w:rFonts w:ascii="Times New Roman" w:eastAsia="Times New Roman" w:hAnsi="Times New Roman" w:cs="Times New Roman"/>
          <w:i/>
        </w:rPr>
        <w:t>Cass R. Sunstein</w:t>
      </w:r>
      <w:r>
        <w:rPr>
          <w:rFonts w:ascii="Times New Roman" w:eastAsia="Times New Roman" w:hAnsi="Times New Roman" w:cs="Times New Roman"/>
        </w:rPr>
        <w:t xml:space="preserve"> llamado “</w:t>
      </w:r>
      <w:r>
        <w:rPr>
          <w:rFonts w:ascii="Times New Roman" w:eastAsia="Times New Roman" w:hAnsi="Times New Roman" w:cs="Times New Roman"/>
          <w:i/>
        </w:rPr>
        <w:t>The nudge: improving decisions about health, wealth, and papines</w:t>
      </w:r>
      <w:r>
        <w:rPr>
          <w:rFonts w:ascii="Times New Roman" w:eastAsia="Times New Roman" w:hAnsi="Times New Roman" w:cs="Times New Roman"/>
        </w:rPr>
        <w:t>” se establecen el enorme aporte que trae para una comunidad que el gobierno invierta en incentivos que permitan a los individuos tomar mejores decisiones en pro del colectivo y por ende de sí mismo:</w:t>
      </w:r>
    </w:p>
    <w:p w14:paraId="75004B89"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“Así que los arquitectos de las decisiones deben pensar incentivos cuando diseñan un sistema. Los arquitectos sensatos darán los incentivos adecuados a las personas adecuadas. Una forma de empezar a reflexionar sobre los incentivos es hacer cuatro preguntas sobre una arquitectura determinada: ¿Quién utiliza? ¿Quién elige? ¿Quién paga? ¿Quién se beneficia? Los mercados libres con frecuencia resuelven todos los problemas clave dando un incentivo para hacer buenos productos y venderlos al precio justo.”</w:t>
      </w:r>
    </w:p>
    <w:p w14:paraId="75004B8A" w14:textId="77777777" w:rsidR="005F1BD6" w:rsidRDefault="00E3283E">
      <w:pPr>
        <w:spacing w:before="120" w:after="120" w:line="360" w:lineRule="auto"/>
        <w:ind w:right="100"/>
        <w:jc w:val="both"/>
        <w:rPr>
          <w:rFonts w:ascii="Times New Roman" w:eastAsia="Times New Roman" w:hAnsi="Times New Roman" w:cs="Times New Roman"/>
        </w:rPr>
      </w:pPr>
      <w:r>
        <w:rPr>
          <w:rFonts w:ascii="Times New Roman" w:eastAsia="Times New Roman" w:hAnsi="Times New Roman" w:cs="Times New Roman"/>
        </w:rPr>
        <w:t>Ahora bien, entrando en materia es posible encontrar algunos casos en los cuales la Administración Distrital ha adoptado incentivos tendientes a lograr que el sector privado aporte en la consecuencia de mejores condiciones de seguridad y convivencia, tal es el caso del Decreto 119 de 2022 el cual estableció que:</w:t>
      </w:r>
    </w:p>
    <w:p w14:paraId="75004B8B"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 xml:space="preserve">Artículo 5º. Horario para Expendio y/o Consumo de Bebidas Alcohólicas y/o Embriagantes. Modifíquese el artículo </w:t>
      </w:r>
      <w:hyperlink r:id="rId8" w:anchor="1">
        <w:r>
          <w:rPr>
            <w:rFonts w:ascii="Times New Roman" w:eastAsia="Times New Roman" w:hAnsi="Times New Roman" w:cs="Times New Roman"/>
            <w:i/>
            <w:highlight w:val="white"/>
          </w:rPr>
          <w:t>1º</w:t>
        </w:r>
      </w:hyperlink>
      <w:r>
        <w:rPr>
          <w:rFonts w:ascii="Times New Roman" w:eastAsia="Times New Roman" w:hAnsi="Times New Roman" w:cs="Times New Roman"/>
          <w:i/>
          <w:highlight w:val="white"/>
        </w:rPr>
        <w:t xml:space="preserve"> del Decreto Distrital 667 de 2017, modificado por el artículo </w:t>
      </w:r>
      <w:hyperlink r:id="rId9" w:anchor="1">
        <w:r>
          <w:rPr>
            <w:rFonts w:ascii="Times New Roman" w:eastAsia="Times New Roman" w:hAnsi="Times New Roman" w:cs="Times New Roman"/>
            <w:i/>
            <w:highlight w:val="white"/>
          </w:rPr>
          <w:t>1º</w:t>
        </w:r>
      </w:hyperlink>
      <w:r>
        <w:rPr>
          <w:rFonts w:ascii="Times New Roman" w:eastAsia="Times New Roman" w:hAnsi="Times New Roman" w:cs="Times New Roman"/>
          <w:i/>
          <w:highlight w:val="white"/>
        </w:rPr>
        <w:t xml:space="preserve"> del Decreto Distrital 477 de 2021, el cual quedará así:</w:t>
      </w:r>
    </w:p>
    <w:p w14:paraId="75004B8C"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"Artículo 1. El horario de funcionamiento para el ejercicio de actividades económicas de las personas naturales y jurídicas que desarrollen actividad económica y aquellas enunciadas en el artículo 86 de la Ley 1801 de 2016, que involucren el expendio o consumo de bebidas alcohólicas y/o embriagantes, será desde las diez de la mañana (10:00 a.m.) hasta las cinco de la mañana (5:00 a.m.) del día siguiente, siempre y cuando el establecimiento se encuentre vinculado a un frente de seguridad local coordinado por la Policía Metropolitana de Bogotá y/o red de cuidado coordinada por la Secretaría Distrital de Seguridad, Convivencia y Justicia. De no encontrarse vinculado, su horario de funcionamiento será el comprendido entre las diez de la mañana (10:00 a.m.) hasta las tres de la mañana (3:00 a.m.) del día siguiente.</w:t>
      </w:r>
    </w:p>
    <w:p w14:paraId="75004B8D"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Parágrafo 1. Entiéndase por actividad económica lo preceptuado al respecto por el artículo 83 de la Ley 1801 de 2016, es decir, la actividad lícita, desarrollada por las personas naturales y jurídicas, en cualquier lugar y sobre cualquier bien, sea comercial, industrial, social, de servicios, de recreación o de entretenimiento; de carácter público o privado o en entidades con o sin ánimo de lucro, o similares o que siendo privados, sus actividades trasciendan a lo público.</w:t>
      </w:r>
    </w:p>
    <w:p w14:paraId="75004B8E"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Parágrafo 2. Lo anterior sin perjuicio de que la Administración Distrital adopte medidas, programas, proyectos e incentivos, que modifiquen el horario aquí establecido con el fin de motivar el consumo responsable de bebidas alcohólicas y/o embriagantes.</w:t>
      </w:r>
    </w:p>
    <w:p w14:paraId="75004B8F"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Parágrafo 3. La Secretaría Distrital de Seguridad, Convivencia y Justicia en un plazo no superior a un (1) mes contado a partir del 11 de abril de 2022, adoptará la reglamentación referente a las redes de cuidado de las que trata el artículo precedente. De igual manera, adelantará la articulación respectiva con la Policía Metropolitana de Bogotá en lo que respecta a los frentes de seguridad local.</w:t>
      </w:r>
    </w:p>
    <w:p w14:paraId="75004B90" w14:textId="77777777" w:rsidR="005F1BD6" w:rsidRDefault="00E3283E">
      <w:pPr>
        <w:spacing w:before="120" w:after="120"/>
        <w:ind w:left="560" w:right="51"/>
        <w:jc w:val="both"/>
        <w:rPr>
          <w:rFonts w:ascii="Times New Roman" w:eastAsia="Times New Roman" w:hAnsi="Times New Roman" w:cs="Times New Roman"/>
          <w:i/>
          <w:highlight w:val="white"/>
        </w:rPr>
      </w:pPr>
      <w:r>
        <w:rPr>
          <w:rFonts w:ascii="Times New Roman" w:eastAsia="Times New Roman" w:hAnsi="Times New Roman" w:cs="Times New Roman"/>
          <w:i/>
          <w:highlight w:val="white"/>
        </w:rPr>
        <w:t xml:space="preserve">Parágrafo 4. La medida contemplada en el presente artículo, solo será exigible a los establecimientos de comercio, quince (15) días calendario después de expedida la reglamentación aludida en el presente artículo, por parte de la Secretaría Distrital de Seguridad, Convivencia y Justicia.” </w:t>
      </w:r>
    </w:p>
    <w:p w14:paraId="75004B91"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En este caso, la Alcaldía Mayor de Bogotá reconoce con una extensión de dos (2) horas en el horario de funcionamiento de dichos establecimientos de comercio dedicados a la expendio y consumo de bebidas embriagantes, a quienes se vinculen a frentes de seguridad o redes de cuidado, con los cual se implementa una política de incentivos que conducen, en el marco de reconocimiento de la libertad de empresa, a promover el concurso de estos establecimientos en actividades que redunden en mejores condiciones de seguridad y cuidado de sus clientes y de los ciudadanos en general.</w:t>
      </w:r>
    </w:p>
    <w:p w14:paraId="75004B92"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Que con el objeto de replicar y garantizar que las futuras administraciones continúen implementando estos mecanismos de incentivos y reconocimientos que impactan favorablemente en la seguridad y convivencia ciudadana, a través de mantener y aplicar el giro en la visión pública que se comprometa a acudir a otras formas positivas de encarar los retos sociales, resulta necesario impulsar el presente proyecto de acuerdo a través del cual se le imponga a la Alcaldía Mayor de Bogotá, en el marco de las competencias asignadas a este Concejo como suprema autoridad administrativa de Bogotá, a efectuar un sistema de incentivos que permita que el sector privado que se dedica a actividades de rumba en Bogotá, consolide el salto que ha venido dado a favor de la seguridad y convivencia en el Distrito Capital.</w:t>
      </w:r>
    </w:p>
    <w:p w14:paraId="75004B93"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 xml:space="preserve">Lo anterior, atendiendo los retos importantes en Bogotá para seguir reduciendo las situaciones que perturban la Seguridad y la Convivencia Ciudadana. Por lo anterior, podemos ver la cantidad de reportes al mes de riñas entre el año 2022 y 2023 por medio de la línea 123 y su comportamiento decreciente, sin bajar de los 30.000 casos. En ese sentido: </w:t>
      </w:r>
    </w:p>
    <w:p w14:paraId="75004B94"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noProof/>
          <w:lang w:val="es-CO"/>
        </w:rPr>
        <w:drawing>
          <wp:inline distT="114300" distB="114300" distL="114300" distR="114300" wp14:anchorId="75004C2E" wp14:editId="75004C2F">
            <wp:extent cx="5731200" cy="2832100"/>
            <wp:effectExtent l="0" t="0" r="0" b="0"/>
            <wp:docPr id="1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
                    <a:srcRect/>
                    <a:stretch>
                      <a:fillRect/>
                    </a:stretch>
                  </pic:blipFill>
                  <pic:spPr>
                    <a:xfrm>
                      <a:off x="0" y="0"/>
                      <a:ext cx="5731200" cy="2832100"/>
                    </a:xfrm>
                    <a:prstGeom prst="rect">
                      <a:avLst/>
                    </a:prstGeom>
                    <a:ln/>
                  </pic:spPr>
                </pic:pic>
              </a:graphicData>
            </a:graphic>
          </wp:inline>
        </w:drawing>
      </w:r>
    </w:p>
    <w:p w14:paraId="75004B95"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 xml:space="preserve">(Basado en el Boletín Mensual emitido por la Secretaría Jurídica Distrital del mes de julio de 2023). </w:t>
      </w:r>
    </w:p>
    <w:p w14:paraId="75004B96"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 xml:space="preserve">Ahora bien, en Bogotá, el sector comercio representa el 46,35% de los sectores económicos de la ciudad con matrícula activa y renovada (datos de la Cámara de Comercio de Bogotá) en el año 2022. En ese sentido, se reconoce su principal participación en la ciudad capital. </w:t>
      </w:r>
    </w:p>
    <w:p w14:paraId="75004B97" w14:textId="77777777" w:rsidR="005F1BD6" w:rsidRDefault="00E3283E">
      <w:pPr>
        <w:spacing w:before="120"/>
        <w:ind w:right="-40"/>
        <w:jc w:val="center"/>
        <w:rPr>
          <w:rFonts w:ascii="Times New Roman" w:eastAsia="Times New Roman" w:hAnsi="Times New Roman" w:cs="Times New Roman"/>
        </w:rPr>
      </w:pPr>
      <w:r>
        <w:rPr>
          <w:rFonts w:ascii="Times New Roman" w:eastAsia="Times New Roman" w:hAnsi="Times New Roman" w:cs="Times New Roman"/>
          <w:noProof/>
          <w:lang w:val="es-CO"/>
        </w:rPr>
        <w:drawing>
          <wp:inline distT="114300" distB="114300" distL="114300" distR="114300" wp14:anchorId="75004C30" wp14:editId="75004C31">
            <wp:extent cx="3009900" cy="2009775"/>
            <wp:effectExtent l="0" t="0" r="0" b="0"/>
            <wp:docPr id="10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3009900" cy="2009775"/>
                    </a:xfrm>
                    <a:prstGeom prst="rect">
                      <a:avLst/>
                    </a:prstGeom>
                    <a:ln/>
                  </pic:spPr>
                </pic:pic>
              </a:graphicData>
            </a:graphic>
          </wp:inline>
        </w:drawing>
      </w:r>
    </w:p>
    <w:p w14:paraId="75004B98" w14:textId="77777777" w:rsidR="005F1BD6" w:rsidRDefault="00E3283E">
      <w:pPr>
        <w:spacing w:before="120"/>
        <w:ind w:left="1985" w:right="203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Tomado de la página web de la Cámara de Comercio de Bogotá.  </w:t>
      </w:r>
    </w:p>
    <w:p w14:paraId="75004B99" w14:textId="77777777" w:rsidR="005F1BD6" w:rsidRDefault="005F1BD6">
      <w:pPr>
        <w:spacing w:before="120" w:after="120" w:line="360" w:lineRule="auto"/>
        <w:ind w:right="-40"/>
        <w:jc w:val="both"/>
        <w:rPr>
          <w:rFonts w:ascii="Times New Roman" w:eastAsia="Times New Roman" w:hAnsi="Times New Roman" w:cs="Times New Roman"/>
        </w:rPr>
      </w:pPr>
    </w:p>
    <w:p w14:paraId="75004B9A"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 xml:space="preserve">Según el Conteo de Unidades Económicas del Departamento Nacional de Planeación para el año 2021 los establecimientos fijos representan 89,18% del total en la ciudad de Bogotá, lo cual resulta clave entender a la hora de contribuir mediante estos a comportamientos favorables de seguridad y convivencia ciudadana, al ser parte de estrategias, proyectos, programas y acciones a nivel Distrital. </w:t>
      </w:r>
    </w:p>
    <w:p w14:paraId="75004B9B"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 xml:space="preserve">Esto a su vez, corresponde al llamado de la Responsabilidad Social Empresarial, puesto que es: </w:t>
      </w:r>
    </w:p>
    <w:p w14:paraId="75004B9C" w14:textId="77777777" w:rsidR="005F1BD6" w:rsidRDefault="00E3283E">
      <w:pPr>
        <w:spacing w:before="120" w:after="120" w:line="360" w:lineRule="auto"/>
        <w:ind w:left="720" w:right="-40"/>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i/>
        </w:rPr>
        <w:t>la manera en que las empresas toman en consideración las repercusiones que tienen sus actividades sobre la sociedad y en la que afirman los principios y valores por los que se rigen, tanto en su propios métodos y procesos internos como en su relación con los demás actores. La RSE es una iniciativa de carácter voluntario y que solo depende de la empresa, y se refiere a actividades que se considera rebasan el mero cumplimiento de la ley</w:t>
      </w:r>
      <w:r>
        <w:rPr>
          <w:rFonts w:ascii="Times New Roman" w:eastAsia="Times New Roman" w:hAnsi="Times New Roman" w:cs="Times New Roman"/>
        </w:rPr>
        <w:t xml:space="preserve">” (OIT, 2010). </w:t>
      </w:r>
    </w:p>
    <w:p w14:paraId="75004B9D"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 xml:space="preserve">En ese sentido, los estímulos previstos ayudan a reconocer la consideración voluntaria de los establecimientos por superar el mero cumplimiento de la ley para reafirmar principios y valores en pro de la convivencia, seguridad y tranquilidad. </w:t>
      </w:r>
    </w:p>
    <w:p w14:paraId="75004B9E"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Se observó en el primer año de intervención del Decreto Distrital 119 de 2022 una reducción de los casos de varios delitos de alto impacto en zonas de rumba en horarios de la madrugada respecto al año anterior al decreto: homicidios (-11,1%), homicidios por razones de convivencia (-42,9%), lesiones personales (-19,3%), hurto por atraco (-5,0%) y hurto de celulares (-10,7%). Sin embargo, varios incidentes reportados al NUSE-123 se han incrementado en la misma comparativa, incluyendo las riñas (9,6%), lesiones personales (21,5%) y disparos (4,9%). A pesar de lo anterior, al comparar los registros del primer y segundo año de implementación del Decreto, estos y otros incidentes presentan reducciones.</w:t>
      </w:r>
    </w:p>
    <w:p w14:paraId="75004B9F" w14:textId="77777777" w:rsidR="005F1BD6" w:rsidRDefault="005F1BD6">
      <w:pPr>
        <w:spacing w:before="120" w:after="120" w:line="360" w:lineRule="auto"/>
        <w:ind w:right="-40"/>
        <w:jc w:val="both"/>
        <w:rPr>
          <w:rFonts w:ascii="Times New Roman" w:eastAsia="Times New Roman" w:hAnsi="Times New Roman" w:cs="Times New Roman"/>
        </w:rPr>
      </w:pPr>
    </w:p>
    <w:p w14:paraId="75004BA0" w14:textId="77777777" w:rsidR="005F1BD6" w:rsidRDefault="00E3283E">
      <w:pPr>
        <w:numPr>
          <w:ilvl w:val="0"/>
          <w:numId w:val="1"/>
        </w:numPr>
        <w:pBdr>
          <w:top w:val="nil"/>
          <w:left w:val="nil"/>
          <w:bottom w:val="nil"/>
          <w:right w:val="nil"/>
          <w:between w:val="nil"/>
        </w:pBdr>
        <w:jc w:val="both"/>
        <w:rPr>
          <w:rFonts w:ascii="Times New Roman" w:eastAsia="Times New Roman" w:hAnsi="Times New Roman" w:cs="Times New Roman"/>
          <w:b/>
          <w:color w:val="000000"/>
        </w:rPr>
      </w:pPr>
      <w:r>
        <w:rPr>
          <w:rFonts w:ascii="Times New Roman" w:eastAsia="Times New Roman" w:hAnsi="Times New Roman" w:cs="Times New Roman"/>
          <w:b/>
          <w:color w:val="000000"/>
        </w:rPr>
        <w:t>RELACIÓN DE LA INICIATIVA CON LOS OBJETIVOS DE DESARROLLO SOSTENIBLE</w:t>
      </w:r>
      <w:r>
        <w:rPr>
          <w:rFonts w:ascii="Times New Roman" w:eastAsia="Times New Roman" w:hAnsi="Times New Roman" w:cs="Times New Roman"/>
          <w:b/>
          <w:color w:val="000000"/>
        </w:rPr>
        <w:br/>
      </w:r>
    </w:p>
    <w:p w14:paraId="75004BA1"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Este proyecto de Acuerdo tiene una relación importante con varios de los Objetivos de Desarrollo Sostenible (ODS) ya que protege los derechos de los trabajadores y minimizar los riesgos para las comunidades y el medio ambiente.</w:t>
      </w:r>
      <w:r>
        <w:t xml:space="preserve"> </w:t>
      </w:r>
      <w:r>
        <w:rPr>
          <w:rFonts w:ascii="Times New Roman" w:eastAsia="Times New Roman" w:hAnsi="Times New Roman" w:cs="Times New Roman"/>
        </w:rPr>
        <w:t xml:space="preserve">La </w:t>
      </w:r>
      <w:r>
        <w:rPr>
          <w:rFonts w:ascii="Times New Roman" w:eastAsia="Times New Roman" w:hAnsi="Times New Roman" w:cs="Times New Roman"/>
          <w:b/>
        </w:rPr>
        <w:t>seguridad ciudadana</w:t>
      </w:r>
      <w:r>
        <w:rPr>
          <w:rFonts w:ascii="Times New Roman" w:eastAsia="Times New Roman" w:hAnsi="Times New Roman" w:cs="Times New Roman"/>
        </w:rPr>
        <w:t xml:space="preserve"> es un componente fundamental para garantizar sociedades pacíficas, justas y con oportunidades equitativas. Esta temática está vinculada a varios Objetivos de Desarrollo Sostenible (ODS), que buscan abordar los factores subyacentes que contribuyen a la inseguridad y a promover entornos más seguros y sostenibles.</w:t>
      </w:r>
    </w:p>
    <w:p w14:paraId="75004BA2"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b/>
        </w:rPr>
        <w:t>Trabajo Decente y Crecimiento Económico</w:t>
      </w:r>
    </w:p>
    <w:p w14:paraId="75004BA3" w14:textId="77777777" w:rsidR="005F1BD6" w:rsidRDefault="00E3283E">
      <w:pPr>
        <w:spacing w:line="276" w:lineRule="auto"/>
        <w:jc w:val="both"/>
        <w:rPr>
          <w:rFonts w:ascii="Times New Roman" w:eastAsia="Times New Roman" w:hAnsi="Times New Roman" w:cs="Times New Roman"/>
          <w:b/>
        </w:rPr>
      </w:pPr>
      <w:r>
        <w:rPr>
          <w:rFonts w:ascii="Times New Roman" w:eastAsia="Times New Roman" w:hAnsi="Times New Roman" w:cs="Times New Roman"/>
        </w:rPr>
        <w:t>El</w:t>
      </w:r>
      <w:r>
        <w:rPr>
          <w:rFonts w:ascii="Times New Roman" w:eastAsia="Times New Roman" w:hAnsi="Times New Roman" w:cs="Times New Roman"/>
          <w:b/>
        </w:rPr>
        <w:t xml:space="preserve"> </w:t>
      </w:r>
      <w:r>
        <w:rPr>
          <w:rFonts w:ascii="Times New Roman" w:eastAsia="Times New Roman" w:hAnsi="Times New Roman" w:cs="Times New Roman"/>
        </w:rPr>
        <w:t>crecimiento económico inclusivo y sostenible con un trabajo decente para todos. Este objetivo resalta la importancia de fomentar el comercio justo, donde se promueva prácticas comerciales justas y responsables, evitando la explotación laboral y los impactos negativos en comunidades vulnerables. Implementando la Seguridad laboral elaborando medidas, políticas y prácticas diseñadas para proteger a los trabajadores en sus entornos laborales, reduciendo los riesgos de accidentes, enfermedades ocupacionales y otros peligros relacionados con el trabajo.</w:t>
      </w:r>
      <w:r>
        <w:rPr>
          <w:noProof/>
          <w:lang w:val="es-CO"/>
        </w:rPr>
        <w:drawing>
          <wp:anchor distT="0" distB="0" distL="114300" distR="114300" simplePos="0" relativeHeight="251659264" behindDoc="0" locked="0" layoutInCell="1" hidden="0" allowOverlap="1" wp14:anchorId="75004C32" wp14:editId="75004C33">
            <wp:simplePos x="0" y="0"/>
            <wp:positionH relativeFrom="column">
              <wp:posOffset>637</wp:posOffset>
            </wp:positionH>
            <wp:positionV relativeFrom="paragraph">
              <wp:posOffset>-2539</wp:posOffset>
            </wp:positionV>
            <wp:extent cx="1182370" cy="1104900"/>
            <wp:effectExtent l="0" t="0" r="0" b="0"/>
            <wp:wrapSquare wrapText="bothSides" distT="0" distB="0" distL="114300" distR="114300"/>
            <wp:docPr id="113" name="image3.jpg" descr="Resultado de imagen de ods 8"/>
            <wp:cNvGraphicFramePr/>
            <a:graphic xmlns:a="http://schemas.openxmlformats.org/drawingml/2006/main">
              <a:graphicData uri="http://schemas.openxmlformats.org/drawingml/2006/picture">
                <pic:pic xmlns:pic="http://schemas.openxmlformats.org/drawingml/2006/picture">
                  <pic:nvPicPr>
                    <pic:cNvPr id="0" name="image3.jpg" descr="Resultado de imagen de ods 8"/>
                    <pic:cNvPicPr preferRelativeResize="0"/>
                  </pic:nvPicPr>
                  <pic:blipFill>
                    <a:blip r:embed="rId12"/>
                    <a:srcRect l="44006"/>
                    <a:stretch>
                      <a:fillRect/>
                    </a:stretch>
                  </pic:blipFill>
                  <pic:spPr>
                    <a:xfrm>
                      <a:off x="0" y="0"/>
                      <a:ext cx="1182370" cy="1104900"/>
                    </a:xfrm>
                    <a:prstGeom prst="rect">
                      <a:avLst/>
                    </a:prstGeom>
                    <a:ln/>
                  </pic:spPr>
                </pic:pic>
              </a:graphicData>
            </a:graphic>
          </wp:anchor>
        </w:drawing>
      </w:r>
    </w:p>
    <w:p w14:paraId="75004BA4" w14:textId="77777777" w:rsidR="005F1BD6" w:rsidRDefault="005F1BD6">
      <w:pPr>
        <w:spacing w:before="120" w:after="120" w:line="360" w:lineRule="auto"/>
        <w:ind w:right="-40"/>
        <w:jc w:val="both"/>
        <w:rPr>
          <w:rFonts w:ascii="Times New Roman" w:eastAsia="Times New Roman" w:hAnsi="Times New Roman" w:cs="Times New Roman"/>
        </w:rPr>
      </w:pPr>
    </w:p>
    <w:p w14:paraId="75004BA5" w14:textId="77777777" w:rsidR="005F1BD6" w:rsidRDefault="00E3283E">
      <w:pPr>
        <w:spacing w:before="120" w:after="120" w:line="360" w:lineRule="auto"/>
        <w:ind w:right="-40"/>
        <w:jc w:val="both"/>
        <w:rPr>
          <w:rFonts w:ascii="Times New Roman" w:eastAsia="Times New Roman" w:hAnsi="Times New Roman" w:cs="Times New Roman"/>
          <w:b/>
        </w:rPr>
      </w:pPr>
      <w:r>
        <w:rPr>
          <w:rFonts w:ascii="Times New Roman" w:eastAsia="Times New Roman" w:hAnsi="Times New Roman" w:cs="Times New Roman"/>
          <w:b/>
        </w:rPr>
        <w:t>Industria Innovación e Infraestructura</w:t>
      </w:r>
    </w:p>
    <w:p w14:paraId="75004BA6" w14:textId="77777777" w:rsidR="005F1BD6" w:rsidRDefault="00E3283E">
      <w:pPr>
        <w:spacing w:before="120" w:after="120" w:line="360" w:lineRule="auto"/>
        <w:ind w:right="-40"/>
        <w:jc w:val="both"/>
        <w:rPr>
          <w:rFonts w:ascii="Times New Roman" w:eastAsia="Times New Roman" w:hAnsi="Times New Roman" w:cs="Times New Roman"/>
        </w:rPr>
      </w:pPr>
      <w:r>
        <w:rPr>
          <w:noProof/>
          <w:lang w:val="es-CO"/>
        </w:rPr>
        <w:drawing>
          <wp:anchor distT="0" distB="0" distL="114300" distR="114300" simplePos="0" relativeHeight="251660288" behindDoc="0" locked="0" layoutInCell="1" hidden="0" allowOverlap="1" wp14:anchorId="75004C34" wp14:editId="75004C35">
            <wp:simplePos x="0" y="0"/>
            <wp:positionH relativeFrom="column">
              <wp:posOffset>74659</wp:posOffset>
            </wp:positionH>
            <wp:positionV relativeFrom="paragraph">
              <wp:posOffset>190500</wp:posOffset>
            </wp:positionV>
            <wp:extent cx="1182370" cy="1197610"/>
            <wp:effectExtent l="0" t="0" r="0" b="0"/>
            <wp:wrapSquare wrapText="bothSides" distT="0" distB="0" distL="114300" distR="114300"/>
            <wp:docPr id="10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1182370" cy="1197610"/>
                    </a:xfrm>
                    <a:prstGeom prst="rect">
                      <a:avLst/>
                    </a:prstGeom>
                    <a:ln/>
                  </pic:spPr>
                </pic:pic>
              </a:graphicData>
            </a:graphic>
          </wp:anchor>
        </w:drawing>
      </w:r>
    </w:p>
    <w:p w14:paraId="75004BA7" w14:textId="77777777" w:rsidR="005F1BD6" w:rsidRDefault="00E3283E">
      <w:pPr>
        <w:spacing w:before="120" w:after="120" w:line="276" w:lineRule="auto"/>
        <w:ind w:right="-40"/>
        <w:jc w:val="both"/>
        <w:rPr>
          <w:rFonts w:ascii="Times New Roman" w:eastAsia="Times New Roman" w:hAnsi="Times New Roman" w:cs="Times New Roman"/>
        </w:rPr>
      </w:pPr>
      <w:r>
        <w:rPr>
          <w:rFonts w:ascii="Times New Roman" w:eastAsia="Times New Roman" w:hAnsi="Times New Roman" w:cs="Times New Roman"/>
        </w:rPr>
        <w:t xml:space="preserve">Promueve el desarrollo de infraestructuras resilientes, la industrialización inclusiva, sostenible y la innovación. En relación con el </w:t>
      </w:r>
      <w:r>
        <w:rPr>
          <w:rFonts w:ascii="Times New Roman" w:eastAsia="Times New Roman" w:hAnsi="Times New Roman" w:cs="Times New Roman"/>
          <w:b/>
        </w:rPr>
        <w:t>comercio seguro</w:t>
      </w:r>
      <w:r>
        <w:rPr>
          <w:rFonts w:ascii="Times New Roman" w:eastAsia="Times New Roman" w:hAnsi="Times New Roman" w:cs="Times New Roman"/>
        </w:rPr>
        <w:t xml:space="preserve"> busca establecer condiciones que permitan el intercambio de bienes y servicios de manera eficiente, responsable y segura, apoyando el crecimiento económico y el desarrollo sostenible. El comercio seguro no solo protege los intereses económicos, sino que también fortalece las bases de un desarrollo inclusivo y sostenible, alineado con los principios.</w:t>
      </w:r>
    </w:p>
    <w:p w14:paraId="75004BA8" w14:textId="77777777" w:rsidR="005F1BD6" w:rsidRDefault="00E3283E">
      <w:pPr>
        <w:numPr>
          <w:ilvl w:val="0"/>
          <w:numId w:val="1"/>
        </w:numPr>
        <w:pBdr>
          <w:top w:val="nil"/>
          <w:left w:val="nil"/>
          <w:bottom w:val="nil"/>
          <w:right w:val="nil"/>
          <w:between w:val="nil"/>
        </w:pBdr>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RELACIÓN CON EL PLAN </w:t>
      </w:r>
      <w:r>
        <w:rPr>
          <w:rFonts w:ascii="Times New Roman" w:eastAsia="Times New Roman" w:hAnsi="Times New Roman" w:cs="Times New Roman"/>
          <w:b/>
        </w:rPr>
        <w:t xml:space="preserve">DISTRITAL </w:t>
      </w:r>
      <w:r>
        <w:rPr>
          <w:rFonts w:ascii="Times New Roman" w:eastAsia="Times New Roman" w:hAnsi="Times New Roman" w:cs="Times New Roman"/>
          <w:b/>
          <w:color w:val="000000"/>
        </w:rPr>
        <w:t xml:space="preserve">DE DESARROLLO  2024 - 2027 </w:t>
      </w:r>
      <w:r>
        <w:rPr>
          <w:rFonts w:ascii="Times New Roman" w:eastAsia="Times New Roman" w:hAnsi="Times New Roman" w:cs="Times New Roman"/>
          <w:b/>
        </w:rPr>
        <w:t>“BOGOTÁ CAMINA SEGURA”</w:t>
      </w:r>
    </w:p>
    <w:p w14:paraId="75004BA9" w14:textId="77777777" w:rsidR="005F1BD6" w:rsidRDefault="005F1BD6">
      <w:pPr>
        <w:pBdr>
          <w:top w:val="nil"/>
          <w:left w:val="nil"/>
          <w:bottom w:val="nil"/>
          <w:right w:val="nil"/>
          <w:between w:val="nil"/>
        </w:pBdr>
        <w:jc w:val="both"/>
        <w:rPr>
          <w:rFonts w:ascii="Times New Roman" w:eastAsia="Times New Roman" w:hAnsi="Times New Roman" w:cs="Times New Roman"/>
          <w:b/>
        </w:rPr>
      </w:pPr>
    </w:p>
    <w:p w14:paraId="75004BAA" w14:textId="77777777" w:rsidR="005F1BD6" w:rsidRDefault="00E3283E">
      <w:p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b/>
          <w:color w:val="000000"/>
        </w:rPr>
        <w:t xml:space="preserve">Artículo 7. </w:t>
      </w:r>
      <w:r>
        <w:rPr>
          <w:rFonts w:ascii="Times New Roman" w:eastAsia="Times New Roman" w:hAnsi="Times New Roman" w:cs="Times New Roman"/>
          <w:color w:val="000000"/>
        </w:rPr>
        <w:t xml:space="preserve">Programas del objetivo estratégico “Bogotá avanza en seguridad”. Adóptense los siguientes programas del objetivo “Bogotá avanza en seguridad”: </w:t>
      </w:r>
    </w:p>
    <w:p w14:paraId="75004BAB" w14:textId="77777777" w:rsidR="005F1BD6" w:rsidRDefault="00E3283E">
      <w:p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br/>
      </w:r>
      <w:r>
        <w:rPr>
          <w:rFonts w:ascii="Times New Roman" w:eastAsia="Times New Roman" w:hAnsi="Times New Roman" w:cs="Times New Roman"/>
          <w:b/>
          <w:color w:val="000000"/>
        </w:rPr>
        <w:t>7.1. Programa 1. Diálogo social y cultura ciudadana para la convivencia pacífica y la recuperación de la confianza</w:t>
      </w:r>
      <w:r>
        <w:rPr>
          <w:rFonts w:ascii="Times New Roman" w:eastAsia="Times New Roman" w:hAnsi="Times New Roman" w:cs="Times New Roman"/>
          <w:color w:val="000000"/>
        </w:rPr>
        <w:t xml:space="preserve">. El programa concibe la convivencia pacífica como principio de una ciudad </w:t>
      </w:r>
      <w:r>
        <w:rPr>
          <w:rFonts w:ascii="Times New Roman" w:eastAsia="Times New Roman" w:hAnsi="Times New Roman" w:cs="Times New Roman"/>
          <w:b/>
          <w:color w:val="000000"/>
        </w:rPr>
        <w:t>más segura</w:t>
      </w:r>
      <w:r>
        <w:rPr>
          <w:rFonts w:ascii="Times New Roman" w:eastAsia="Times New Roman" w:hAnsi="Times New Roman" w:cs="Times New Roman"/>
          <w:color w:val="000000"/>
        </w:rPr>
        <w:t>; que busca que se mitiguen e intervengan factores de riesgo que pueden generar hechos de inseguridad o violencias en razón al sexo, la edad, la orientación sexual, la identidad de género, su origen, su raza, su credo, o una discapacidad entre otras y que se promuevan iniciativas para fomentar el respeto mutuo y</w:t>
      </w:r>
      <w:r>
        <w:rPr>
          <w:rFonts w:ascii="Times New Roman" w:eastAsia="Times New Roman" w:hAnsi="Times New Roman" w:cs="Times New Roman"/>
          <w:b/>
          <w:color w:val="000000"/>
        </w:rPr>
        <w:t xml:space="preserve"> la resolución no violenta de conflictos.</w:t>
      </w:r>
      <w:r>
        <w:rPr>
          <w:rFonts w:ascii="Times New Roman" w:eastAsia="Times New Roman" w:hAnsi="Times New Roman" w:cs="Times New Roman"/>
        </w:rPr>
        <w:t>(...)</w:t>
      </w:r>
      <w:r>
        <w:rPr>
          <w:rFonts w:ascii="Times New Roman" w:eastAsia="Times New Roman" w:hAnsi="Times New Roman" w:cs="Times New Roman"/>
          <w:color w:val="000000"/>
        </w:rPr>
        <w:t xml:space="preserve"> Estas acciones se desarrollarán en el marco de procesos de </w:t>
      </w:r>
      <w:r>
        <w:rPr>
          <w:rFonts w:ascii="Times New Roman" w:eastAsia="Times New Roman" w:hAnsi="Times New Roman" w:cs="Times New Roman"/>
          <w:b/>
          <w:color w:val="000000"/>
        </w:rPr>
        <w:t>participación ciudadana y en el reconocimiento de nuevas ciudadanías</w:t>
      </w:r>
      <w:r>
        <w:rPr>
          <w:rFonts w:ascii="Times New Roman" w:eastAsia="Times New Roman" w:hAnsi="Times New Roman" w:cs="Times New Roman"/>
          <w:color w:val="000000"/>
        </w:rPr>
        <w:t xml:space="preserve">, mediante la atención integral a </w:t>
      </w:r>
      <w:r>
        <w:rPr>
          <w:rFonts w:ascii="Times New Roman" w:eastAsia="Times New Roman" w:hAnsi="Times New Roman" w:cs="Times New Roman"/>
          <w:b/>
          <w:color w:val="000000"/>
        </w:rPr>
        <w:t>situaciones de convivencia</w:t>
      </w:r>
      <w:r>
        <w:rPr>
          <w:rFonts w:ascii="Times New Roman" w:eastAsia="Times New Roman" w:hAnsi="Times New Roman" w:cs="Times New Roman"/>
          <w:color w:val="000000"/>
        </w:rPr>
        <w:t xml:space="preserve"> y conflictividad social en Bogotá, en el marco del diálogo social.</w:t>
      </w:r>
    </w:p>
    <w:p w14:paraId="75004BAC" w14:textId="77777777" w:rsidR="005F1BD6" w:rsidRDefault="005F1BD6">
      <w:pPr>
        <w:pBdr>
          <w:top w:val="nil"/>
          <w:left w:val="nil"/>
          <w:bottom w:val="nil"/>
          <w:right w:val="nil"/>
          <w:between w:val="nil"/>
        </w:pBdr>
        <w:ind w:left="1006"/>
        <w:jc w:val="both"/>
        <w:rPr>
          <w:rFonts w:ascii="Times New Roman" w:eastAsia="Times New Roman" w:hAnsi="Times New Roman" w:cs="Times New Roman"/>
          <w:color w:val="000000"/>
        </w:rPr>
      </w:pPr>
    </w:p>
    <w:p w14:paraId="75004BAD" w14:textId="77777777" w:rsidR="005F1BD6" w:rsidRDefault="00E3283E">
      <w:pPr>
        <w:pBdr>
          <w:top w:val="nil"/>
          <w:left w:val="nil"/>
          <w:bottom w:val="nil"/>
          <w:right w:val="nil"/>
          <w:between w:val="nil"/>
        </w:pBdr>
        <w:jc w:val="both"/>
        <w:rPr>
          <w:rFonts w:ascii="Times New Roman" w:eastAsia="Times New Roman" w:hAnsi="Times New Roman" w:cs="Times New Roman"/>
          <w:b/>
          <w:color w:val="000000"/>
        </w:rPr>
      </w:pPr>
      <w:r>
        <w:rPr>
          <w:rFonts w:ascii="Times New Roman" w:eastAsia="Times New Roman" w:hAnsi="Times New Roman" w:cs="Times New Roman"/>
          <w:b/>
          <w:color w:val="000000"/>
        </w:rPr>
        <w:t>7.4. Programa 4. Servicios centrados en la justicia</w:t>
      </w:r>
      <w:r>
        <w:rPr>
          <w:rFonts w:ascii="Times New Roman" w:eastAsia="Times New Roman" w:hAnsi="Times New Roman" w:cs="Times New Roman"/>
          <w:color w:val="000000"/>
        </w:rPr>
        <w:t xml:space="preserve">. Como parte de la construcción de confianza y recuperación del tejido social, la Administración Distrital fortalecerá la prestación de los </w:t>
      </w:r>
      <w:r>
        <w:rPr>
          <w:rFonts w:ascii="Times New Roman" w:eastAsia="Times New Roman" w:hAnsi="Times New Roman" w:cs="Times New Roman"/>
          <w:b/>
          <w:color w:val="000000"/>
        </w:rPr>
        <w:t>servicios de justicia para apoyar la atención de la ciudadanía que ha sido víctima de delitos.</w:t>
      </w:r>
      <w:r>
        <w:rPr>
          <w:rFonts w:ascii="Times New Roman" w:eastAsia="Times New Roman" w:hAnsi="Times New Roman" w:cs="Times New Roman"/>
          <w:color w:val="000000"/>
        </w:rPr>
        <w:t xml:space="preserve"> Para ello, la Administración Distrital, en articulación con los </w:t>
      </w:r>
      <w:r>
        <w:rPr>
          <w:rFonts w:ascii="Times New Roman" w:eastAsia="Times New Roman" w:hAnsi="Times New Roman" w:cs="Times New Roman"/>
          <w:b/>
          <w:color w:val="000000"/>
        </w:rPr>
        <w:t>organismos de seguridad y justicia del orden nacional</w:t>
      </w:r>
      <w:r>
        <w:rPr>
          <w:rFonts w:ascii="Times New Roman" w:eastAsia="Times New Roman" w:hAnsi="Times New Roman" w:cs="Times New Roman"/>
          <w:color w:val="000000"/>
        </w:rPr>
        <w:t xml:space="preserve">, trabajará por la ampliación de los servicios de justicia para brindar alternativas de </w:t>
      </w:r>
      <w:r>
        <w:rPr>
          <w:rFonts w:ascii="Times New Roman" w:eastAsia="Times New Roman" w:hAnsi="Times New Roman" w:cs="Times New Roman"/>
          <w:b/>
          <w:color w:val="000000"/>
        </w:rPr>
        <w:t>resolución de conflictos</w:t>
      </w:r>
      <w:r>
        <w:rPr>
          <w:rFonts w:ascii="Times New Roman" w:eastAsia="Times New Roman" w:hAnsi="Times New Roman" w:cs="Times New Roman"/>
          <w:color w:val="000000"/>
        </w:rPr>
        <w:t>, acceder a la información y lograr la atención de sus denuncias.</w:t>
      </w:r>
    </w:p>
    <w:p w14:paraId="75004BAE" w14:textId="77777777" w:rsidR="005F1BD6" w:rsidRDefault="005F1BD6">
      <w:pPr>
        <w:pBdr>
          <w:top w:val="nil"/>
          <w:left w:val="nil"/>
          <w:bottom w:val="nil"/>
          <w:right w:val="nil"/>
          <w:between w:val="nil"/>
        </w:pBdr>
        <w:spacing w:line="360" w:lineRule="auto"/>
        <w:ind w:right="-40"/>
        <w:jc w:val="both"/>
        <w:rPr>
          <w:rFonts w:ascii="Times New Roman" w:eastAsia="Times New Roman" w:hAnsi="Times New Roman" w:cs="Times New Roman"/>
        </w:rPr>
      </w:pPr>
    </w:p>
    <w:p w14:paraId="75004BAF" w14:textId="77777777" w:rsidR="005F1BD6" w:rsidRDefault="00E3283E">
      <w:pPr>
        <w:pBdr>
          <w:top w:val="nil"/>
          <w:left w:val="nil"/>
          <w:bottom w:val="nil"/>
          <w:right w:val="nil"/>
          <w:between w:val="nil"/>
        </w:pBdr>
        <w:spacing w:line="276" w:lineRule="auto"/>
        <w:ind w:right="-40"/>
        <w:jc w:val="both"/>
        <w:rPr>
          <w:rFonts w:ascii="Times New Roman" w:eastAsia="Times New Roman" w:hAnsi="Times New Roman" w:cs="Times New Roman"/>
          <w:color w:val="000000"/>
        </w:rPr>
      </w:pPr>
      <w:r>
        <w:rPr>
          <w:rFonts w:ascii="Times New Roman" w:eastAsia="Times New Roman" w:hAnsi="Times New Roman" w:cs="Times New Roman"/>
          <w:b/>
          <w:color w:val="000000"/>
        </w:rPr>
        <w:t>7.7. Programa 7. Seguridad integral para la región metropolitana.</w:t>
      </w:r>
      <w:r>
        <w:rPr>
          <w:rFonts w:ascii="Times New Roman" w:eastAsia="Times New Roman" w:hAnsi="Times New Roman" w:cs="Times New Roman"/>
          <w:color w:val="000000"/>
        </w:rPr>
        <w:t xml:space="preserve"> En el marco del concepto de seguridad integral, la Administración Distrital participará en la identificación del hecho metropolitano en</w:t>
      </w:r>
      <w:r>
        <w:rPr>
          <w:rFonts w:ascii="Times New Roman" w:eastAsia="Times New Roman" w:hAnsi="Times New Roman" w:cs="Times New Roman"/>
          <w:b/>
          <w:color w:val="000000"/>
        </w:rPr>
        <w:t xml:space="preserve"> seguridad, convivencia ciudadana, acceso a la justicia</w:t>
      </w:r>
      <w:r>
        <w:rPr>
          <w:rFonts w:ascii="Times New Roman" w:eastAsia="Times New Roman" w:hAnsi="Times New Roman" w:cs="Times New Roman"/>
          <w:color w:val="000000"/>
        </w:rPr>
        <w:t xml:space="preserve"> y atención de emergencias, de acuerdo con la Ley 2199 de 2022. En ese sentido, con base en el concepto estratégico que guía </w:t>
      </w:r>
      <w:r>
        <w:rPr>
          <w:rFonts w:ascii="Times New Roman" w:eastAsia="Times New Roman" w:hAnsi="Times New Roman" w:cs="Times New Roman"/>
          <w:b/>
          <w:color w:val="000000"/>
        </w:rPr>
        <w:t>”Bogotá camina segura”</w:t>
      </w:r>
      <w:r>
        <w:rPr>
          <w:rFonts w:ascii="Times New Roman" w:eastAsia="Times New Roman" w:hAnsi="Times New Roman" w:cs="Times New Roman"/>
          <w:color w:val="000000"/>
        </w:rPr>
        <w:t xml:space="preserve"> se contribuirá desde la interagencialidad en el diseño e implementación del primer Plan Integral de Seguridad, Convivencia y Justicia en el marco de la Región Metropolitana Bogotá Cundinamarc</w:t>
      </w:r>
      <w:r>
        <w:rPr>
          <w:rFonts w:ascii="Times New Roman" w:eastAsia="Times New Roman" w:hAnsi="Times New Roman" w:cs="Times New Roman"/>
        </w:rPr>
        <w:t>a (...)</w:t>
      </w:r>
    </w:p>
    <w:p w14:paraId="75004BB0" w14:textId="77777777" w:rsidR="005F1BD6" w:rsidRDefault="005F1BD6">
      <w:pPr>
        <w:pBdr>
          <w:top w:val="nil"/>
          <w:left w:val="nil"/>
          <w:bottom w:val="nil"/>
          <w:right w:val="nil"/>
          <w:between w:val="nil"/>
        </w:pBdr>
        <w:spacing w:after="120" w:line="360" w:lineRule="auto"/>
        <w:ind w:right="-40"/>
        <w:rPr>
          <w:rFonts w:ascii="Times New Roman" w:eastAsia="Times New Roman" w:hAnsi="Times New Roman" w:cs="Times New Roman"/>
          <w:b/>
        </w:rPr>
      </w:pPr>
    </w:p>
    <w:p w14:paraId="75004BB1" w14:textId="77777777" w:rsidR="005F1BD6" w:rsidRDefault="00E3283E">
      <w:pPr>
        <w:numPr>
          <w:ilvl w:val="0"/>
          <w:numId w:val="1"/>
        </w:numPr>
        <w:pBdr>
          <w:top w:val="nil"/>
          <w:left w:val="nil"/>
          <w:bottom w:val="nil"/>
          <w:right w:val="nil"/>
          <w:between w:val="nil"/>
        </w:pBdr>
        <w:spacing w:after="120" w:line="360" w:lineRule="auto"/>
        <w:ind w:right="-40"/>
        <w:rPr>
          <w:rFonts w:ascii="Times New Roman" w:eastAsia="Times New Roman" w:hAnsi="Times New Roman" w:cs="Times New Roman"/>
          <w:b/>
          <w:color w:val="000000"/>
        </w:rPr>
      </w:pPr>
      <w:r>
        <w:rPr>
          <w:rFonts w:ascii="Times New Roman" w:eastAsia="Times New Roman" w:hAnsi="Times New Roman" w:cs="Times New Roman"/>
          <w:b/>
          <w:color w:val="000000"/>
        </w:rPr>
        <w:t>SUSTENTO JURÍDICO DE LA INICIATIVA</w:t>
      </w:r>
    </w:p>
    <w:p w14:paraId="75004BB2" w14:textId="77777777" w:rsidR="005F1BD6" w:rsidRDefault="00E3283E">
      <w:pPr>
        <w:spacing w:after="120"/>
        <w:ind w:right="-40"/>
        <w:jc w:val="both"/>
        <w:rPr>
          <w:rFonts w:ascii="Times New Roman" w:eastAsia="Times New Roman" w:hAnsi="Times New Roman" w:cs="Times New Roman"/>
          <w:highlight w:val="white"/>
        </w:rPr>
      </w:pPr>
      <w:r>
        <w:rPr>
          <w:rFonts w:ascii="Times New Roman" w:eastAsia="Times New Roman" w:hAnsi="Times New Roman" w:cs="Times New Roman"/>
          <w:b/>
        </w:rPr>
        <w:t>5.1. Bloque de convencionalidad</w:t>
      </w:r>
      <w:r>
        <w:rPr>
          <w:rFonts w:ascii="Times New Roman" w:eastAsia="Times New Roman" w:hAnsi="Times New Roman" w:cs="Times New Roman"/>
        </w:rPr>
        <w:br/>
      </w:r>
      <w:r>
        <w:rPr>
          <w:rFonts w:ascii="Times New Roman" w:eastAsia="Times New Roman" w:hAnsi="Times New Roman" w:cs="Times New Roman"/>
        </w:rPr>
        <w:br/>
        <w:t xml:space="preserve">Control de convencionalidad en Colombia Sentencia Los precedentes constitucionales establecen que la vida, como valor, tiene una protección proporcional frente al alcance (...) </w:t>
      </w:r>
      <w:r>
        <w:rPr>
          <w:rFonts w:ascii="Times New Roman" w:eastAsia="Times New Roman" w:hAnsi="Times New Roman" w:cs="Times New Roman"/>
          <w:highlight w:val="white"/>
        </w:rPr>
        <w:t>El bloque de convencionalidad proporciona un marco para evaluar estas medidas y asegurar que no se excedan los límites permitidos.</w:t>
      </w:r>
    </w:p>
    <w:p w14:paraId="75004BB3" w14:textId="77777777" w:rsidR="005F1BD6" w:rsidRDefault="00E3283E">
      <w:pPr>
        <w:spacing w:after="120"/>
        <w:ind w:right="-40"/>
        <w:jc w:val="both"/>
        <w:rPr>
          <w:rFonts w:ascii="Times New Roman" w:eastAsia="Times New Roman" w:hAnsi="Times New Roman" w:cs="Times New Roman"/>
          <w:highlight w:val="white"/>
        </w:rPr>
      </w:pPr>
      <w:r>
        <w:rPr>
          <w:rFonts w:ascii="Times New Roman" w:eastAsia="Times New Roman" w:hAnsi="Times New Roman" w:cs="Times New Roman"/>
          <w:highlight w:val="white"/>
        </w:rPr>
        <w:t>Declaración universal de los Derechos Humanos, Considerando que los Estados Miembros se han comprometido a asegurar, en cooperación con la Organización de las Naciones Unidas, el respeto universal y efectivo a los derechos y libertades fundamentales del hombre, (...)</w:t>
      </w:r>
    </w:p>
    <w:p w14:paraId="75004BB4" w14:textId="77777777" w:rsidR="005F1BD6" w:rsidRDefault="00E3283E">
      <w:pPr>
        <w:spacing w:after="120"/>
        <w:ind w:right="-40"/>
        <w:jc w:val="both"/>
        <w:rPr>
          <w:rFonts w:ascii="Times New Roman" w:eastAsia="Times New Roman" w:hAnsi="Times New Roman" w:cs="Times New Roman"/>
          <w:b/>
        </w:rPr>
      </w:pPr>
      <w:r>
        <w:rPr>
          <w:rFonts w:ascii="Times New Roman" w:eastAsia="Times New Roman" w:hAnsi="Times New Roman" w:cs="Times New Roman"/>
          <w:b/>
        </w:rPr>
        <w:t>5.2. Normas de rango constitucional</w:t>
      </w:r>
    </w:p>
    <w:p w14:paraId="75004BB5" w14:textId="77777777" w:rsidR="005F1BD6" w:rsidRDefault="00E3283E">
      <w:pPr>
        <w:spacing w:before="240" w:after="240" w:line="360" w:lineRule="auto"/>
        <w:jc w:val="both"/>
        <w:rPr>
          <w:rFonts w:ascii="Times New Roman" w:eastAsia="Times New Roman" w:hAnsi="Times New Roman" w:cs="Times New Roman"/>
        </w:rPr>
      </w:pPr>
      <w:r>
        <w:rPr>
          <w:rFonts w:ascii="Times New Roman" w:eastAsia="Times New Roman" w:hAnsi="Times New Roman" w:cs="Times New Roman"/>
        </w:rPr>
        <w:t>La Constitución Política dispone en su artículo 1 que el Estado Colombiano está fundado en el respeto a la dignidad humana, el trabajo, la solidaridad y la prevalencia del interés general. A su vez, su artículo 2 estipula que corresponde a las autoridades de la República proteger a los residentes en Colombia, así como garantizar los principios, derechos y deberes constitucionales.</w:t>
      </w:r>
    </w:p>
    <w:p w14:paraId="75004BB6" w14:textId="77777777" w:rsidR="005F1BD6" w:rsidRDefault="00E3283E">
      <w:pPr>
        <w:spacing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Artículo 315: Los alcaldes tienen la responsabilidad de garantizar la seguridad y el orden.Es importante destacar la relación con el proyecto mencionado para garantizar el cumplimiento del objetivo de funcionalidad con respecto a la Constitución Política Colombiana</w:t>
      </w:r>
    </w:p>
    <w:p w14:paraId="75004BB7" w14:textId="77777777" w:rsidR="005F1BD6" w:rsidRDefault="00E3283E">
      <w:pPr>
        <w:spacing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El Artículo 333:</w:t>
      </w:r>
      <w:r>
        <w:rPr>
          <w:rFonts w:ascii="Times New Roman" w:eastAsia="Times New Roman" w:hAnsi="Times New Roman" w:cs="Times New Roman"/>
          <w:highlight w:val="white"/>
        </w:rPr>
        <w:t xml:space="preserve">El Estado fortalecerá las organizaciones solidarias y estimulará el desarrollo empresarial. El Estado, por mandato de la ley, impedirá que se obstruya o se restrinja la libertad económica. </w:t>
      </w:r>
      <w:r>
        <w:rPr>
          <w:rFonts w:ascii="Times New Roman" w:eastAsia="Times New Roman" w:hAnsi="Times New Roman" w:cs="Times New Roman"/>
        </w:rPr>
        <w:t>La relación con el proyecto mencionado garantiza el cumplimiento del objetivo de funcionalidad con respecto a la Constitución Política Colombiana</w:t>
      </w:r>
    </w:p>
    <w:p w14:paraId="75004BB8" w14:textId="77777777" w:rsidR="005F1BD6" w:rsidRDefault="005F1BD6">
      <w:pPr>
        <w:spacing w:after="120" w:line="360" w:lineRule="auto"/>
        <w:ind w:right="-40"/>
        <w:jc w:val="both"/>
        <w:rPr>
          <w:rFonts w:ascii="Times New Roman" w:eastAsia="Times New Roman" w:hAnsi="Times New Roman" w:cs="Times New Roman"/>
          <w:highlight w:val="white"/>
        </w:rPr>
      </w:pPr>
    </w:p>
    <w:p w14:paraId="75004BB9" w14:textId="77777777" w:rsidR="005F1BD6" w:rsidRDefault="005F1BD6">
      <w:pPr>
        <w:spacing w:after="120" w:line="360" w:lineRule="auto"/>
        <w:ind w:right="-40"/>
        <w:jc w:val="both"/>
        <w:rPr>
          <w:rFonts w:ascii="Times New Roman" w:eastAsia="Times New Roman" w:hAnsi="Times New Roman" w:cs="Times New Roman"/>
          <w:highlight w:val="white"/>
        </w:rPr>
      </w:pPr>
    </w:p>
    <w:p w14:paraId="75004BBA" w14:textId="77777777" w:rsidR="005F1BD6" w:rsidRDefault="00E3283E">
      <w:pPr>
        <w:spacing w:after="120" w:line="360" w:lineRule="auto"/>
        <w:ind w:right="-40"/>
        <w:rPr>
          <w:rFonts w:ascii="Times New Roman" w:eastAsia="Times New Roman" w:hAnsi="Times New Roman" w:cs="Times New Roman"/>
          <w:b/>
        </w:rPr>
      </w:pPr>
      <w:r>
        <w:rPr>
          <w:rFonts w:ascii="Times New Roman" w:eastAsia="Times New Roman" w:hAnsi="Times New Roman" w:cs="Times New Roman"/>
          <w:b/>
        </w:rPr>
        <w:t>5.3. Normas de rango reglamentario</w:t>
      </w:r>
    </w:p>
    <w:p w14:paraId="75004BBB" w14:textId="77777777" w:rsidR="005F1BD6" w:rsidRDefault="00E3283E">
      <w:pPr>
        <w:spacing w:after="120" w:line="360" w:lineRule="auto"/>
        <w:ind w:right="-40"/>
        <w:rPr>
          <w:rFonts w:ascii="Times New Roman" w:eastAsia="Times New Roman" w:hAnsi="Times New Roman" w:cs="Times New Roman"/>
        </w:rPr>
      </w:pPr>
      <w:r>
        <w:rPr>
          <w:rFonts w:ascii="Times New Roman" w:eastAsia="Times New Roman" w:hAnsi="Times New Roman" w:cs="Times New Roman"/>
        </w:rPr>
        <w:t>5.3.1. Del orden nacional</w:t>
      </w:r>
    </w:p>
    <w:p w14:paraId="75004BBC"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 xml:space="preserve">Ley 1801 de 2016 </w:t>
      </w:r>
      <w:r>
        <w:rPr>
          <w:rFonts w:ascii="Times New Roman" w:eastAsia="Times New Roman" w:hAnsi="Times New Roman" w:cs="Times New Roman"/>
          <w:i/>
        </w:rPr>
        <w:t>"Por la cual se expide el Código Nacional de Seguridad y Convivencia Ciudadana</w:t>
      </w:r>
      <w:r>
        <w:rPr>
          <w:rFonts w:ascii="Times New Roman" w:eastAsia="Times New Roman" w:hAnsi="Times New Roman" w:cs="Times New Roman"/>
        </w:rPr>
        <w:t>". Por el cual se dictan las disposiciones de convivencia,seguridad y se promueven mecanismos alternativos de resolución de conflictos como vía de solución de desacuerdos en donde se propicia el diálogo.</w:t>
      </w:r>
    </w:p>
    <w:p w14:paraId="75004BBD" w14:textId="77777777" w:rsidR="005F1BD6" w:rsidRDefault="00E3283E">
      <w:pPr>
        <w:spacing w:after="120" w:line="360" w:lineRule="auto"/>
        <w:ind w:right="-40"/>
        <w:rPr>
          <w:rFonts w:ascii="Times New Roman" w:eastAsia="Times New Roman" w:hAnsi="Times New Roman" w:cs="Times New Roman"/>
        </w:rPr>
      </w:pPr>
      <w:r>
        <w:rPr>
          <w:rFonts w:ascii="Times New Roman" w:eastAsia="Times New Roman" w:hAnsi="Times New Roman" w:cs="Times New Roman"/>
        </w:rPr>
        <w:t>5.3.2. Del orden distrital</w:t>
      </w:r>
    </w:p>
    <w:p w14:paraId="75004BBE"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 xml:space="preserve">Acuerdo Distrital Nº 079 de 2003 </w:t>
      </w:r>
      <w:r>
        <w:rPr>
          <w:rFonts w:ascii="Times New Roman" w:eastAsia="Times New Roman" w:hAnsi="Times New Roman" w:cs="Times New Roman"/>
          <w:i/>
        </w:rPr>
        <w:t xml:space="preserve">“Por la cual se expide el Código de Policía de Bogotá, D.C.”.  </w:t>
      </w:r>
      <w:r>
        <w:rPr>
          <w:rFonts w:ascii="Times New Roman" w:eastAsia="Times New Roman" w:hAnsi="Times New Roman" w:cs="Times New Roman"/>
        </w:rPr>
        <w:t>Por el cual se dictan las reGlas mínimas que deben respetar y cumplir todas las personas en el Distrito Capital para propender por una sana convivencia ciudadana</w:t>
      </w:r>
    </w:p>
    <w:p w14:paraId="75004BBF" w14:textId="77777777" w:rsidR="005F1BD6" w:rsidRDefault="00E3283E">
      <w:pPr>
        <w:spacing w:before="120" w:after="120" w:line="360" w:lineRule="auto"/>
        <w:ind w:right="-40"/>
        <w:jc w:val="both"/>
        <w:rPr>
          <w:rFonts w:ascii="Times New Roman" w:eastAsia="Times New Roman" w:hAnsi="Times New Roman" w:cs="Times New Roman"/>
        </w:rPr>
      </w:pPr>
      <w:r>
        <w:rPr>
          <w:rFonts w:ascii="Times New Roman" w:eastAsia="Times New Roman" w:hAnsi="Times New Roman" w:cs="Times New Roman"/>
        </w:rPr>
        <w:t xml:space="preserve">Decreto Distrital 119 de 2022.Promover acciones específicas para mejorar la percepción de seguridad. Donde se crea un sistema más inclusivo y eficiente, enfocado en la </w:t>
      </w:r>
      <w:r>
        <w:rPr>
          <w:rFonts w:ascii="Times New Roman" w:eastAsia="Times New Roman" w:hAnsi="Times New Roman" w:cs="Times New Roman"/>
          <w:b/>
        </w:rPr>
        <w:t>prevención del delito</w:t>
      </w:r>
      <w:r>
        <w:rPr>
          <w:rFonts w:ascii="Times New Roman" w:eastAsia="Times New Roman" w:hAnsi="Times New Roman" w:cs="Times New Roman"/>
        </w:rPr>
        <w:t xml:space="preserve"> y la </w:t>
      </w:r>
      <w:r>
        <w:rPr>
          <w:rFonts w:ascii="Times New Roman" w:eastAsia="Times New Roman" w:hAnsi="Times New Roman" w:cs="Times New Roman"/>
          <w:b/>
        </w:rPr>
        <w:t>atención oportuna</w:t>
      </w:r>
      <w:r>
        <w:rPr>
          <w:rFonts w:ascii="Times New Roman" w:eastAsia="Times New Roman" w:hAnsi="Times New Roman" w:cs="Times New Roman"/>
        </w:rPr>
        <w:t>. Se articulan esfuerzos de entidades públicas y privadas con el objetivo de construir una ciudad más segura y en paz. El decreto refuerza la visión integral de seguridad en Bogotá, reconociendo la importancia de la prevención, la participación ciudadana y la justicia en la construcción de un entorno seguro y armónico.</w:t>
      </w:r>
    </w:p>
    <w:p w14:paraId="75004BC0" w14:textId="77777777" w:rsidR="005F1BD6" w:rsidRDefault="005F1BD6">
      <w:pPr>
        <w:pBdr>
          <w:top w:val="nil"/>
          <w:left w:val="nil"/>
          <w:bottom w:val="nil"/>
          <w:right w:val="nil"/>
          <w:between w:val="nil"/>
        </w:pBdr>
        <w:rPr>
          <w:rFonts w:ascii="Times New Roman" w:eastAsia="Times New Roman" w:hAnsi="Times New Roman" w:cs="Times New Roman"/>
          <w:b/>
        </w:rPr>
      </w:pPr>
    </w:p>
    <w:p w14:paraId="75004BC1" w14:textId="77777777" w:rsidR="005F1BD6" w:rsidRDefault="00E3283E">
      <w:pPr>
        <w:numPr>
          <w:ilvl w:val="0"/>
          <w:numId w:val="1"/>
        </w:num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COMPETENCIA</w:t>
      </w:r>
    </w:p>
    <w:p w14:paraId="75004BC2" w14:textId="77777777" w:rsidR="005F1BD6" w:rsidRDefault="005F1BD6">
      <w:pPr>
        <w:jc w:val="both"/>
        <w:rPr>
          <w:rFonts w:ascii="Times New Roman" w:eastAsia="Times New Roman" w:hAnsi="Times New Roman" w:cs="Times New Roman"/>
        </w:rPr>
      </w:pPr>
    </w:p>
    <w:p w14:paraId="75004BC3" w14:textId="77777777" w:rsidR="005F1BD6" w:rsidRDefault="00E3283E">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El Concejo de Bogotá D.C. tiene la competencia para dictar normas relacionadas con la naturaleza y el alcance del presente Proyecto de Acuerdo, según las disposiciones constitucionales y legales vigentes. En primer lugar, el </w:t>
      </w:r>
      <w:r>
        <w:rPr>
          <w:rFonts w:ascii="Times New Roman" w:eastAsia="Times New Roman" w:hAnsi="Times New Roman" w:cs="Times New Roman"/>
          <w:i/>
          <w:sz w:val="22"/>
          <w:szCs w:val="22"/>
        </w:rPr>
        <w:t>artículo 313 de la Constitución Política de Colombia</w:t>
      </w:r>
      <w:r>
        <w:rPr>
          <w:rFonts w:ascii="Times New Roman" w:eastAsia="Times New Roman" w:hAnsi="Times New Roman" w:cs="Times New Roman"/>
          <w:sz w:val="22"/>
          <w:szCs w:val="22"/>
        </w:rPr>
        <w:t xml:space="preserve"> establece que:</w:t>
      </w:r>
    </w:p>
    <w:p w14:paraId="75004BC4" w14:textId="77777777" w:rsidR="005F1BD6" w:rsidRDefault="005F1BD6">
      <w:pPr>
        <w:jc w:val="both"/>
        <w:rPr>
          <w:rFonts w:ascii="Times New Roman" w:eastAsia="Times New Roman" w:hAnsi="Times New Roman" w:cs="Times New Roman"/>
          <w:sz w:val="22"/>
          <w:szCs w:val="22"/>
        </w:rPr>
      </w:pPr>
    </w:p>
    <w:p w14:paraId="75004BC5" w14:textId="77777777" w:rsidR="005F1BD6" w:rsidRDefault="00E3283E">
      <w:pPr>
        <w:ind w:left="566"/>
        <w:jc w:val="both"/>
        <w:rPr>
          <w:rFonts w:ascii="Times New Roman" w:eastAsia="Times New Roman" w:hAnsi="Times New Roman" w:cs="Times New Roman"/>
          <w:i/>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i/>
          <w:sz w:val="22"/>
          <w:szCs w:val="22"/>
        </w:rPr>
        <w:t>ARTÍCULO 313. Corresponde a los Concejos:</w:t>
      </w:r>
    </w:p>
    <w:p w14:paraId="75004BC6" w14:textId="77777777" w:rsidR="005F1BD6" w:rsidRDefault="005F1BD6">
      <w:pPr>
        <w:ind w:left="566"/>
        <w:jc w:val="both"/>
        <w:rPr>
          <w:rFonts w:ascii="Times New Roman" w:eastAsia="Times New Roman" w:hAnsi="Times New Roman" w:cs="Times New Roman"/>
          <w:i/>
          <w:sz w:val="22"/>
          <w:szCs w:val="22"/>
        </w:rPr>
      </w:pPr>
    </w:p>
    <w:p w14:paraId="75004BC7" w14:textId="77777777" w:rsidR="005F1BD6" w:rsidRDefault="00E3283E">
      <w:pPr>
        <w:ind w:left="566"/>
        <w:jc w:val="both"/>
        <w:rPr>
          <w:rFonts w:ascii="Times New Roman" w:eastAsia="Times New Roman" w:hAnsi="Times New Roman" w:cs="Times New Roman"/>
          <w:sz w:val="22"/>
          <w:szCs w:val="22"/>
        </w:rPr>
      </w:pPr>
      <w:r>
        <w:rPr>
          <w:rFonts w:ascii="Times New Roman" w:eastAsia="Times New Roman" w:hAnsi="Times New Roman" w:cs="Times New Roman"/>
          <w:i/>
          <w:sz w:val="22"/>
          <w:szCs w:val="22"/>
        </w:rPr>
        <w:t>1. Reglamentar las funciones y la eficiente prestación de los servicios a cargo del municipio [...]”</w:t>
      </w:r>
      <w:r>
        <w:rPr>
          <w:rFonts w:ascii="Times New Roman" w:eastAsia="Times New Roman" w:hAnsi="Times New Roman" w:cs="Times New Roman"/>
          <w:sz w:val="22"/>
          <w:szCs w:val="22"/>
        </w:rPr>
        <w:t>.</w:t>
      </w:r>
    </w:p>
    <w:p w14:paraId="75004BC8" w14:textId="77777777" w:rsidR="005F1BD6" w:rsidRDefault="005F1BD6">
      <w:pPr>
        <w:ind w:left="566"/>
        <w:jc w:val="both"/>
        <w:rPr>
          <w:rFonts w:ascii="Times New Roman" w:eastAsia="Times New Roman" w:hAnsi="Times New Roman" w:cs="Times New Roman"/>
          <w:sz w:val="22"/>
          <w:szCs w:val="22"/>
        </w:rPr>
      </w:pPr>
    </w:p>
    <w:p w14:paraId="75004BC9" w14:textId="77777777" w:rsidR="005F1BD6" w:rsidRDefault="00E3283E">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En segundo lugar, el </w:t>
      </w:r>
      <w:r>
        <w:rPr>
          <w:rFonts w:ascii="Times New Roman" w:eastAsia="Times New Roman" w:hAnsi="Times New Roman" w:cs="Times New Roman"/>
          <w:i/>
          <w:sz w:val="22"/>
          <w:szCs w:val="22"/>
        </w:rPr>
        <w:t>artículo 12 del Decreto Ley 1421 de 1993 - Estatuto Orgánico de Bogotá -</w:t>
      </w:r>
      <w:r>
        <w:rPr>
          <w:rFonts w:ascii="Times New Roman" w:eastAsia="Times New Roman" w:hAnsi="Times New Roman" w:cs="Times New Roman"/>
          <w:sz w:val="22"/>
          <w:szCs w:val="22"/>
        </w:rPr>
        <w:t xml:space="preserve"> estipula que:</w:t>
      </w:r>
    </w:p>
    <w:p w14:paraId="75004BCA" w14:textId="77777777" w:rsidR="005F1BD6" w:rsidRDefault="005F1BD6">
      <w:pPr>
        <w:jc w:val="both"/>
        <w:rPr>
          <w:rFonts w:ascii="Times New Roman" w:eastAsia="Times New Roman" w:hAnsi="Times New Roman" w:cs="Times New Roman"/>
          <w:sz w:val="22"/>
          <w:szCs w:val="22"/>
        </w:rPr>
      </w:pPr>
    </w:p>
    <w:p w14:paraId="75004BCB" w14:textId="77777777" w:rsidR="005F1BD6" w:rsidRDefault="00E3283E">
      <w:pPr>
        <w:ind w:left="566"/>
        <w:jc w:val="both"/>
        <w:rPr>
          <w:rFonts w:ascii="Times New Roman" w:eastAsia="Times New Roman" w:hAnsi="Times New Roman" w:cs="Times New Roman"/>
          <w:i/>
          <w:sz w:val="22"/>
          <w:szCs w:val="22"/>
        </w:rPr>
      </w:pPr>
      <w:r>
        <w:rPr>
          <w:rFonts w:ascii="Times New Roman" w:eastAsia="Times New Roman" w:hAnsi="Times New Roman" w:cs="Times New Roman"/>
          <w:i/>
          <w:sz w:val="22"/>
          <w:szCs w:val="22"/>
        </w:rPr>
        <w:t>“ARTÍCULO 12. Atribuciones. Corresponde al Concejo Distrital, de conformidad con la Constitución y a la ley:</w:t>
      </w:r>
    </w:p>
    <w:p w14:paraId="75004BCC" w14:textId="77777777" w:rsidR="005F1BD6" w:rsidRDefault="005F1BD6">
      <w:pPr>
        <w:ind w:left="566"/>
        <w:jc w:val="both"/>
        <w:rPr>
          <w:rFonts w:ascii="Times New Roman" w:eastAsia="Times New Roman" w:hAnsi="Times New Roman" w:cs="Times New Roman"/>
          <w:i/>
          <w:sz w:val="22"/>
          <w:szCs w:val="22"/>
        </w:rPr>
      </w:pPr>
    </w:p>
    <w:p w14:paraId="75004BCD" w14:textId="77777777" w:rsidR="005F1BD6" w:rsidRDefault="00E3283E">
      <w:pPr>
        <w:ind w:left="566"/>
        <w:jc w:val="both"/>
        <w:rPr>
          <w:rFonts w:ascii="Times New Roman" w:eastAsia="Times New Roman" w:hAnsi="Times New Roman" w:cs="Times New Roman"/>
          <w:i/>
          <w:sz w:val="22"/>
          <w:szCs w:val="22"/>
        </w:rPr>
      </w:pPr>
      <w:r>
        <w:rPr>
          <w:rFonts w:ascii="Times New Roman" w:eastAsia="Times New Roman" w:hAnsi="Times New Roman" w:cs="Times New Roman"/>
          <w:i/>
          <w:sz w:val="22"/>
          <w:szCs w:val="22"/>
        </w:rPr>
        <w:t>1. Dictar las normas necesarias para garantizar el adecuado cumplimiento de las funciones y la eficiente prestación de los servicios a cargo del Distrito [...]”.</w:t>
      </w:r>
    </w:p>
    <w:p w14:paraId="75004BCE" w14:textId="77777777" w:rsidR="005F1BD6" w:rsidRDefault="005F1BD6">
      <w:pPr>
        <w:jc w:val="both"/>
        <w:rPr>
          <w:rFonts w:ascii="Times New Roman" w:eastAsia="Times New Roman" w:hAnsi="Times New Roman" w:cs="Times New Roman"/>
        </w:rPr>
      </w:pPr>
    </w:p>
    <w:p w14:paraId="75004BCF" w14:textId="77777777" w:rsidR="005F1BD6" w:rsidRDefault="00E3283E">
      <w:pPr>
        <w:spacing w:line="360" w:lineRule="auto"/>
        <w:jc w:val="both"/>
        <w:rPr>
          <w:rFonts w:ascii="Times New Roman" w:eastAsia="Times New Roman" w:hAnsi="Times New Roman" w:cs="Times New Roman"/>
        </w:rPr>
      </w:pPr>
      <w:r>
        <w:rPr>
          <w:rFonts w:ascii="Times New Roman" w:eastAsia="Times New Roman" w:hAnsi="Times New Roman" w:cs="Times New Roman"/>
        </w:rPr>
        <w:t xml:space="preserve">Adicionalmente teniendo en cuenta el Art. 1, 18 y 23 del Decreto Ley 1421/93, señala el poder subsidiario de policía del Concejo de Bogotá para dictar normas complementarias a favor de la convivencia no sometidas a reserva legal ni que refieran a: i) limitaciones, restricciones o normas adicionales a los derechos y deberes de las personas; ii) medios o medidas correctivas diferentes a las previstas por el legislador y iii) requisitos adicionales para ejercer derechos o actividades reglamentadas de manera general, ni afectar los establecidos en la ley (Artículo 12 de la Ley 1801/16). A su vez, las autoridades de policía, entre las cuales se encuentra el Concejo de Bogotá, deben promover el cumplimiento de los comportamientos favorables a la convivencia conllevando a su exaltación (artículo 24 de la Ley 1801 de 2016). </w:t>
      </w:r>
    </w:p>
    <w:p w14:paraId="75004BD0" w14:textId="77777777" w:rsidR="005F1BD6" w:rsidRDefault="005F1BD6">
      <w:pPr>
        <w:spacing w:line="360" w:lineRule="auto"/>
        <w:jc w:val="both"/>
        <w:rPr>
          <w:rFonts w:ascii="Times New Roman" w:eastAsia="Times New Roman" w:hAnsi="Times New Roman" w:cs="Times New Roman"/>
        </w:rPr>
      </w:pPr>
    </w:p>
    <w:p w14:paraId="75004BD1" w14:textId="77777777" w:rsidR="005F1BD6" w:rsidRDefault="00E3283E">
      <w:pPr>
        <w:spacing w:line="360" w:lineRule="auto"/>
        <w:jc w:val="both"/>
        <w:rPr>
          <w:rFonts w:ascii="Times New Roman" w:eastAsia="Times New Roman" w:hAnsi="Times New Roman" w:cs="Times New Roman"/>
        </w:rPr>
      </w:pPr>
      <w:r>
        <w:rPr>
          <w:rFonts w:ascii="Times New Roman" w:eastAsia="Times New Roman" w:hAnsi="Times New Roman" w:cs="Times New Roman"/>
        </w:rPr>
        <w:t xml:space="preserve">Igualmente, el proyecto de acuerdo facilita la participación de todos en la vida económica y cultural del Distrito, promueve su prosperidad general y asegura la convivencia (artículo 2 de la Constitución Política de Colombia). Esto, fortalece la libertad económica de las personas naturales y jurídicas, gracias a los estímulos (artículo 333 de la Constitución Política de Colombia), en correspondencia con el cumplimiento de un deber de solidaridad (numeral 2 del artículo 95 de la Constitución Política de Colombia) por la convivencia. Aspecto que también redunda en la satisfacción de los derechos mínimos fundamentales de las personas gracias a los comportamientos favorables a la convivencia. </w:t>
      </w:r>
    </w:p>
    <w:p w14:paraId="75004BD2" w14:textId="77777777" w:rsidR="005F1BD6" w:rsidRDefault="005F1BD6">
      <w:pPr>
        <w:jc w:val="both"/>
        <w:rPr>
          <w:rFonts w:ascii="Times New Roman" w:eastAsia="Times New Roman" w:hAnsi="Times New Roman" w:cs="Times New Roman"/>
        </w:rPr>
      </w:pPr>
    </w:p>
    <w:p w14:paraId="75004BD3" w14:textId="77777777" w:rsidR="005F1BD6" w:rsidRDefault="00E3283E">
      <w:pPr>
        <w:numPr>
          <w:ilvl w:val="0"/>
          <w:numId w:val="1"/>
        </w:num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 IMPACTO FISCAL</w:t>
      </w:r>
      <w:r>
        <w:rPr>
          <w:rFonts w:ascii="Times New Roman" w:eastAsia="Times New Roman" w:hAnsi="Times New Roman" w:cs="Times New Roman"/>
          <w:b/>
          <w:color w:val="000000"/>
        </w:rPr>
        <w:br/>
      </w:r>
    </w:p>
    <w:p w14:paraId="75004BD4" w14:textId="77777777" w:rsidR="005F1BD6" w:rsidRDefault="00E3283E">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La Ley 819 de 2003 “</w:t>
      </w:r>
      <w:r>
        <w:rPr>
          <w:rFonts w:ascii="Times New Roman" w:eastAsia="Times New Roman" w:hAnsi="Times New Roman" w:cs="Times New Roman"/>
          <w:i/>
          <w:sz w:val="22"/>
          <w:szCs w:val="22"/>
        </w:rPr>
        <w:t>Por la cual se dictan normas orgánicas en materia de presupuesto, responsabilidad y transparencia fiscal y se dictan otras disposiciones</w:t>
      </w:r>
      <w:r>
        <w:rPr>
          <w:rFonts w:ascii="Times New Roman" w:eastAsia="Times New Roman" w:hAnsi="Times New Roman" w:cs="Times New Roman"/>
          <w:sz w:val="22"/>
          <w:szCs w:val="22"/>
        </w:rPr>
        <w:t xml:space="preserve">” en su artículo 7 establece: </w:t>
      </w:r>
    </w:p>
    <w:p w14:paraId="75004BD5" w14:textId="77777777" w:rsidR="005F1BD6" w:rsidRDefault="005F1BD6">
      <w:pPr>
        <w:spacing w:line="360" w:lineRule="auto"/>
        <w:jc w:val="both"/>
        <w:rPr>
          <w:rFonts w:ascii="Times New Roman" w:eastAsia="Times New Roman" w:hAnsi="Times New Roman" w:cs="Times New Roman"/>
          <w:sz w:val="22"/>
          <w:szCs w:val="22"/>
        </w:rPr>
      </w:pPr>
    </w:p>
    <w:p w14:paraId="75004BD6" w14:textId="77777777" w:rsidR="005F1BD6" w:rsidRDefault="00E3283E">
      <w:pPr>
        <w:spacing w:line="360" w:lineRule="auto"/>
        <w:ind w:left="720"/>
        <w:jc w:val="both"/>
        <w:rPr>
          <w:rFonts w:ascii="Times New Roman" w:eastAsia="Times New Roman" w:hAnsi="Times New Roman" w:cs="Times New Roman"/>
          <w:i/>
          <w:sz w:val="22"/>
          <w:szCs w:val="22"/>
        </w:rPr>
      </w:pPr>
      <w:r>
        <w:rPr>
          <w:rFonts w:ascii="Times New Roman" w:eastAsia="Times New Roman" w:hAnsi="Times New Roman" w:cs="Times New Roman"/>
          <w:sz w:val="22"/>
          <w:szCs w:val="22"/>
          <w:highlight w:val="white"/>
        </w:rPr>
        <w:t>"</w:t>
      </w:r>
      <w:r>
        <w:rPr>
          <w:rFonts w:ascii="Times New Roman" w:eastAsia="Times New Roman" w:hAnsi="Times New Roman" w:cs="Times New Roman"/>
          <w:i/>
          <w:sz w:val="22"/>
          <w:szCs w:val="22"/>
          <w:highlight w:val="white"/>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w:t>
      </w:r>
    </w:p>
    <w:p w14:paraId="75004BD7" w14:textId="77777777" w:rsidR="005F1BD6" w:rsidRDefault="005F1BD6">
      <w:pPr>
        <w:spacing w:line="360" w:lineRule="auto"/>
        <w:jc w:val="both"/>
        <w:rPr>
          <w:rFonts w:ascii="Times New Roman" w:eastAsia="Times New Roman" w:hAnsi="Times New Roman" w:cs="Times New Roman"/>
          <w:i/>
          <w:sz w:val="22"/>
          <w:szCs w:val="22"/>
        </w:rPr>
      </w:pPr>
    </w:p>
    <w:p w14:paraId="75004BD8" w14:textId="77777777" w:rsidR="005F1BD6" w:rsidRDefault="00E3283E">
      <w:pPr>
        <w:spacing w:line="360" w:lineRule="auto"/>
        <w:ind w:left="720"/>
        <w:jc w:val="both"/>
        <w:rPr>
          <w:rFonts w:ascii="Times New Roman" w:eastAsia="Times New Roman" w:hAnsi="Times New Roman" w:cs="Times New Roman"/>
          <w:sz w:val="22"/>
          <w:szCs w:val="22"/>
        </w:rPr>
      </w:pPr>
      <w:r>
        <w:rPr>
          <w:rFonts w:ascii="Times New Roman" w:eastAsia="Times New Roman" w:hAnsi="Times New Roman" w:cs="Times New Roman"/>
          <w:i/>
          <w:sz w:val="22"/>
          <w:szCs w:val="22"/>
          <w:highlight w:val="white"/>
        </w:rPr>
        <w:t>Para estos propósitos, deberá incluirse expresamente en la exposición de motivos y en las ponencias de trámite respectivas los costos fiscales de la iniciativa y la fuente de ingreso adicional generada para el financiamiento de dicho costo</w:t>
      </w:r>
      <w:r>
        <w:rPr>
          <w:rFonts w:ascii="Times New Roman" w:eastAsia="Times New Roman" w:hAnsi="Times New Roman" w:cs="Times New Roman"/>
          <w:sz w:val="22"/>
          <w:szCs w:val="22"/>
          <w:highlight w:val="white"/>
        </w:rPr>
        <w:t>”.</w:t>
      </w:r>
    </w:p>
    <w:p w14:paraId="75004BD9" w14:textId="77777777" w:rsidR="005F1BD6" w:rsidRDefault="005F1BD6">
      <w:pPr>
        <w:spacing w:line="360" w:lineRule="auto"/>
        <w:jc w:val="both"/>
        <w:rPr>
          <w:rFonts w:ascii="Times New Roman" w:eastAsia="Times New Roman" w:hAnsi="Times New Roman" w:cs="Times New Roman"/>
          <w:color w:val="FF0000"/>
          <w:sz w:val="22"/>
          <w:szCs w:val="22"/>
          <w:highlight w:val="yellow"/>
        </w:rPr>
      </w:pPr>
    </w:p>
    <w:p w14:paraId="75004BDA" w14:textId="77777777" w:rsidR="005F1BD6" w:rsidRDefault="00E3283E">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En consideración a lo anterior, esta iniciativa </w:t>
      </w:r>
      <w:r>
        <w:rPr>
          <w:rFonts w:ascii="Times New Roman" w:eastAsia="Times New Roman" w:hAnsi="Times New Roman" w:cs="Times New Roman"/>
          <w:b/>
          <w:i/>
          <w:sz w:val="22"/>
          <w:szCs w:val="22"/>
        </w:rPr>
        <w:t xml:space="preserve">no tendría un impacto fiscal </w:t>
      </w:r>
      <w:r>
        <w:rPr>
          <w:rFonts w:ascii="Times New Roman" w:eastAsia="Times New Roman" w:hAnsi="Times New Roman" w:cs="Times New Roman"/>
          <w:sz w:val="22"/>
          <w:szCs w:val="22"/>
        </w:rPr>
        <w:t xml:space="preserve">por cuanto no implica la apropiación de recursos adicionales a los sectores y entidades responsables de su implementación. </w:t>
      </w:r>
    </w:p>
    <w:p w14:paraId="75004BDB" w14:textId="77777777" w:rsidR="005F1BD6" w:rsidRDefault="005F1BD6">
      <w:pPr>
        <w:pBdr>
          <w:top w:val="nil"/>
          <w:left w:val="nil"/>
          <w:bottom w:val="nil"/>
          <w:right w:val="nil"/>
          <w:between w:val="nil"/>
        </w:pBdr>
        <w:rPr>
          <w:rFonts w:ascii="Times New Roman" w:eastAsia="Times New Roman" w:hAnsi="Times New Roman" w:cs="Times New Roman"/>
          <w:b/>
        </w:rPr>
      </w:pPr>
    </w:p>
    <w:p w14:paraId="75004BDC" w14:textId="77777777" w:rsidR="005F1BD6" w:rsidRDefault="00E3283E">
      <w:pPr>
        <w:numPr>
          <w:ilvl w:val="0"/>
          <w:numId w:val="1"/>
        </w:numPr>
        <w:rPr>
          <w:rFonts w:ascii="Times New Roman" w:eastAsia="Times New Roman" w:hAnsi="Times New Roman" w:cs="Times New Roman"/>
          <w:b/>
        </w:rPr>
      </w:pPr>
      <w:r>
        <w:rPr>
          <w:rFonts w:ascii="Times New Roman" w:eastAsia="Times New Roman" w:hAnsi="Times New Roman" w:cs="Times New Roman"/>
          <w:b/>
        </w:rPr>
        <w:t xml:space="preserve"> PARTICIPACIÓN CIUDADANA. </w:t>
      </w:r>
    </w:p>
    <w:p w14:paraId="75004BDD" w14:textId="77777777" w:rsidR="005F1BD6" w:rsidRDefault="005F1BD6">
      <w:pPr>
        <w:rPr>
          <w:rFonts w:ascii="Times New Roman" w:eastAsia="Times New Roman" w:hAnsi="Times New Roman" w:cs="Times New Roman"/>
          <w:b/>
        </w:rPr>
      </w:pPr>
    </w:p>
    <w:p w14:paraId="75004BDE" w14:textId="77777777" w:rsidR="005F1BD6" w:rsidRDefault="00E3283E">
      <w:pPr>
        <w:spacing w:line="276" w:lineRule="auto"/>
        <w:jc w:val="both"/>
        <w:rPr>
          <w:rFonts w:ascii="Times New Roman" w:eastAsia="Times New Roman" w:hAnsi="Times New Roman" w:cs="Times New Roman"/>
        </w:rPr>
      </w:pPr>
      <w:r>
        <w:rPr>
          <w:rFonts w:ascii="Times New Roman" w:eastAsia="Times New Roman" w:hAnsi="Times New Roman" w:cs="Times New Roman"/>
        </w:rPr>
        <w:t xml:space="preserve">El presente Proyecto de Acuerdo se construyó en compañía del comité intergremial, en la cual se expusieron las principales preocupaciones del sector con una línea encaminada a la propuesta de soluciones que fueron plasmadas en el articulado en cuestión. Los principales aportes para incentivar y reconocer las actividades en los establecimientos de comercio favoreciendo la seguridad y convivencia fueron presentados por la Asociación de Empresarios de Bares - ASOBARES y la Asociación Hotelera y Turística de Colombia - COTELCO. Así mismo se realizó una mesa con los principales propietarios y administradores de los bares del barrio modelia en la localidad de Fontibón, en compañía de líderes comunitarios del barrio. </w:t>
      </w:r>
    </w:p>
    <w:p w14:paraId="75004BDF" w14:textId="77777777" w:rsidR="005F1BD6" w:rsidRDefault="005F1BD6">
      <w:pPr>
        <w:spacing w:line="276" w:lineRule="auto"/>
        <w:jc w:val="both"/>
        <w:rPr>
          <w:rFonts w:ascii="Times New Roman" w:eastAsia="Times New Roman" w:hAnsi="Times New Roman" w:cs="Times New Roman"/>
        </w:rPr>
      </w:pPr>
    </w:p>
    <w:p w14:paraId="75004BE0" w14:textId="77777777" w:rsidR="005F1BD6" w:rsidRDefault="00E3283E">
      <w:pPr>
        <w:spacing w:line="276" w:lineRule="auto"/>
        <w:jc w:val="both"/>
        <w:rPr>
          <w:rFonts w:ascii="Times New Roman" w:eastAsia="Times New Roman" w:hAnsi="Times New Roman" w:cs="Times New Roman"/>
        </w:rPr>
      </w:pPr>
      <w:r>
        <w:rPr>
          <w:rFonts w:ascii="Times New Roman" w:eastAsia="Times New Roman" w:hAnsi="Times New Roman" w:cs="Times New Roman"/>
          <w:noProof/>
          <w:lang w:val="es-CO"/>
        </w:rPr>
        <w:drawing>
          <wp:inline distT="114300" distB="114300" distL="114300" distR="114300" wp14:anchorId="75004C36" wp14:editId="75004C37">
            <wp:extent cx="2612451" cy="1947141"/>
            <wp:effectExtent l="0" t="0" r="0" b="0"/>
            <wp:docPr id="10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2612451" cy="1947141"/>
                    </a:xfrm>
                    <a:prstGeom prst="rect">
                      <a:avLst/>
                    </a:prstGeom>
                    <a:ln/>
                  </pic:spPr>
                </pic:pic>
              </a:graphicData>
            </a:graphic>
          </wp:inline>
        </w:drawing>
      </w:r>
      <w:r>
        <w:rPr>
          <w:rFonts w:ascii="Times New Roman" w:eastAsia="Times New Roman" w:hAnsi="Times New Roman" w:cs="Times New Roman"/>
        </w:rPr>
        <w:t xml:space="preserve"> </w:t>
      </w:r>
      <w:r>
        <w:rPr>
          <w:rFonts w:ascii="Times New Roman" w:eastAsia="Times New Roman" w:hAnsi="Times New Roman" w:cs="Times New Roman"/>
          <w:noProof/>
          <w:lang w:val="es-CO"/>
        </w:rPr>
        <w:drawing>
          <wp:inline distT="114300" distB="114300" distL="114300" distR="114300" wp14:anchorId="75004C38" wp14:editId="75004C39">
            <wp:extent cx="2618423" cy="1956828"/>
            <wp:effectExtent l="0" t="0" r="0" b="0"/>
            <wp:docPr id="1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5"/>
                    <a:srcRect/>
                    <a:stretch>
                      <a:fillRect/>
                    </a:stretch>
                  </pic:blipFill>
                  <pic:spPr>
                    <a:xfrm>
                      <a:off x="0" y="0"/>
                      <a:ext cx="2618423" cy="1956828"/>
                    </a:xfrm>
                    <a:prstGeom prst="rect">
                      <a:avLst/>
                    </a:prstGeom>
                    <a:ln/>
                  </pic:spPr>
                </pic:pic>
              </a:graphicData>
            </a:graphic>
          </wp:inline>
        </w:drawing>
      </w:r>
    </w:p>
    <w:p w14:paraId="75004BE1" w14:textId="77777777" w:rsidR="005F1BD6" w:rsidRDefault="00E3283E">
      <w:pPr>
        <w:spacing w:line="276" w:lineRule="auto"/>
        <w:jc w:val="both"/>
        <w:rPr>
          <w:rFonts w:ascii="Times New Roman" w:eastAsia="Times New Roman" w:hAnsi="Times New Roman" w:cs="Times New Roman"/>
          <w:b/>
          <w:highlight w:val="yellow"/>
        </w:rPr>
      </w:pPr>
      <w:r>
        <w:rPr>
          <w:rFonts w:ascii="Times New Roman" w:eastAsia="Times New Roman" w:hAnsi="Times New Roman" w:cs="Times New Roman"/>
          <w:noProof/>
          <w:lang w:val="es-CO"/>
        </w:rPr>
        <w:drawing>
          <wp:inline distT="114300" distB="114300" distL="114300" distR="114300" wp14:anchorId="75004C3A" wp14:editId="75004C3B">
            <wp:extent cx="2640441" cy="1996209"/>
            <wp:effectExtent l="0" t="0" r="0" b="0"/>
            <wp:docPr id="10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2640441" cy="1996209"/>
                    </a:xfrm>
                    <a:prstGeom prst="rect">
                      <a:avLst/>
                    </a:prstGeom>
                    <a:ln/>
                  </pic:spPr>
                </pic:pic>
              </a:graphicData>
            </a:graphic>
          </wp:inline>
        </w:drawing>
      </w:r>
      <w:r>
        <w:rPr>
          <w:rFonts w:ascii="Times New Roman" w:eastAsia="Times New Roman" w:hAnsi="Times New Roman" w:cs="Times New Roman"/>
        </w:rPr>
        <w:t>.</w:t>
      </w:r>
      <w:r>
        <w:rPr>
          <w:rFonts w:ascii="Times New Roman" w:eastAsia="Times New Roman" w:hAnsi="Times New Roman" w:cs="Times New Roman"/>
          <w:noProof/>
          <w:lang w:val="es-CO"/>
        </w:rPr>
        <w:drawing>
          <wp:inline distT="114300" distB="114300" distL="114300" distR="114300" wp14:anchorId="75004C3C" wp14:editId="75004C3D">
            <wp:extent cx="2685098" cy="2007043"/>
            <wp:effectExtent l="0" t="0" r="0" b="0"/>
            <wp:docPr id="10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7"/>
                    <a:srcRect/>
                    <a:stretch>
                      <a:fillRect/>
                    </a:stretch>
                  </pic:blipFill>
                  <pic:spPr>
                    <a:xfrm>
                      <a:off x="0" y="0"/>
                      <a:ext cx="2685098" cy="2007043"/>
                    </a:xfrm>
                    <a:prstGeom prst="rect">
                      <a:avLst/>
                    </a:prstGeom>
                    <a:ln/>
                  </pic:spPr>
                </pic:pic>
              </a:graphicData>
            </a:graphic>
          </wp:inline>
        </w:drawing>
      </w:r>
    </w:p>
    <w:p w14:paraId="75004BE3" w14:textId="77777777" w:rsidR="005F1BD6" w:rsidRDefault="005F1BD6">
      <w:pPr>
        <w:spacing w:line="360" w:lineRule="auto"/>
        <w:jc w:val="both"/>
        <w:rPr>
          <w:rFonts w:ascii="Times New Roman" w:eastAsia="Times New Roman" w:hAnsi="Times New Roman" w:cs="Times New Roman"/>
          <w:b/>
          <w:highlight w:val="yellow"/>
        </w:rPr>
      </w:pPr>
    </w:p>
    <w:p w14:paraId="75004BE4" w14:textId="77777777" w:rsidR="005F1BD6" w:rsidRDefault="005F1BD6">
      <w:pPr>
        <w:spacing w:line="360" w:lineRule="auto"/>
        <w:jc w:val="both"/>
        <w:rPr>
          <w:rFonts w:ascii="Times New Roman" w:eastAsia="Times New Roman" w:hAnsi="Times New Roman" w:cs="Times New Roman"/>
          <w:b/>
          <w:highlight w:val="yellow"/>
        </w:rPr>
      </w:pPr>
    </w:p>
    <w:p w14:paraId="75004BE5" w14:textId="2C033535" w:rsidR="005F1BD6" w:rsidRDefault="00E3283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Cordialmente,</w:t>
      </w:r>
    </w:p>
    <w:p w14:paraId="75004BE6" w14:textId="77777777" w:rsidR="005F1BD6" w:rsidRDefault="005F1BD6">
      <w:pPr>
        <w:jc w:val="both"/>
        <w:rPr>
          <w:rFonts w:ascii="Times New Roman" w:eastAsia="Times New Roman" w:hAnsi="Times New Roman" w:cs="Times New Roman"/>
          <w:sz w:val="22"/>
          <w:szCs w:val="22"/>
        </w:rPr>
      </w:pPr>
    </w:p>
    <w:p w14:paraId="75004BE7" w14:textId="77777777" w:rsidR="005F1BD6" w:rsidRDefault="005F1BD6">
      <w:pPr>
        <w:jc w:val="both"/>
        <w:rPr>
          <w:rFonts w:ascii="Times New Roman" w:eastAsia="Times New Roman" w:hAnsi="Times New Roman" w:cs="Times New Roman"/>
          <w:sz w:val="22"/>
          <w:szCs w:val="22"/>
        </w:rPr>
      </w:pPr>
    </w:p>
    <w:p w14:paraId="75004BE8" w14:textId="77777777" w:rsidR="005F1BD6" w:rsidRDefault="00E3283E">
      <w:pPr>
        <w:rPr>
          <w:rFonts w:ascii="Times New Roman" w:eastAsia="Times New Roman" w:hAnsi="Times New Roman" w:cs="Times New Roman"/>
        </w:rPr>
      </w:pPr>
      <w:r>
        <w:rPr>
          <w:rFonts w:ascii="Times New Roman" w:eastAsia="Times New Roman" w:hAnsi="Times New Roman" w:cs="Times New Roman"/>
          <w:color w:val="000000"/>
          <w:sz w:val="22"/>
          <w:szCs w:val="22"/>
        </w:rPr>
        <w:tab/>
      </w:r>
    </w:p>
    <w:p w14:paraId="75004BE9" w14:textId="77777777" w:rsidR="005F1BD6" w:rsidRDefault="005F1BD6">
      <w:pPr>
        <w:jc w:val="both"/>
        <w:rPr>
          <w:rFonts w:ascii="Times New Roman" w:eastAsia="Times New Roman" w:hAnsi="Times New Roman" w:cs="Times New Roman"/>
          <w:b/>
          <w:color w:val="000000"/>
          <w:sz w:val="22"/>
          <w:szCs w:val="22"/>
        </w:rPr>
      </w:pPr>
    </w:p>
    <w:p w14:paraId="75004BEA" w14:textId="77777777" w:rsidR="005F1BD6" w:rsidRDefault="005F1BD6">
      <w:pPr>
        <w:jc w:val="both"/>
        <w:rPr>
          <w:rFonts w:ascii="Times New Roman" w:eastAsia="Times New Roman" w:hAnsi="Times New Roman" w:cs="Times New Roman"/>
          <w:b/>
          <w:color w:val="000000"/>
          <w:sz w:val="22"/>
          <w:szCs w:val="22"/>
        </w:rPr>
      </w:pPr>
    </w:p>
    <w:p w14:paraId="75004BEB" w14:textId="77777777" w:rsidR="005F1BD6" w:rsidRDefault="005F1BD6">
      <w:pPr>
        <w:jc w:val="both"/>
        <w:rPr>
          <w:rFonts w:ascii="Times New Roman" w:eastAsia="Times New Roman" w:hAnsi="Times New Roman" w:cs="Times New Roman"/>
          <w:b/>
          <w:sz w:val="22"/>
          <w:szCs w:val="22"/>
        </w:rPr>
      </w:pPr>
    </w:p>
    <w:p w14:paraId="75004BEC" w14:textId="77777777" w:rsidR="005F1BD6" w:rsidRDefault="005F1BD6">
      <w:pPr>
        <w:jc w:val="both"/>
        <w:rPr>
          <w:rFonts w:ascii="Times New Roman" w:eastAsia="Times New Roman" w:hAnsi="Times New Roman" w:cs="Times New Roman"/>
          <w:b/>
          <w:sz w:val="22"/>
          <w:szCs w:val="22"/>
        </w:rPr>
      </w:pPr>
    </w:p>
    <w:p w14:paraId="75004BED" w14:textId="77777777" w:rsidR="005F1BD6" w:rsidRDefault="005F1BD6">
      <w:pPr>
        <w:jc w:val="both"/>
        <w:rPr>
          <w:rFonts w:ascii="Times New Roman" w:eastAsia="Times New Roman" w:hAnsi="Times New Roman" w:cs="Times New Roman"/>
          <w:b/>
          <w:sz w:val="22"/>
          <w:szCs w:val="22"/>
        </w:rPr>
      </w:pPr>
    </w:p>
    <w:p w14:paraId="75004BEE"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b/>
          <w:color w:val="000000"/>
          <w:sz w:val="22"/>
          <w:szCs w:val="22"/>
        </w:rPr>
        <w:t>JULIÁN DAVID RODRÍGUEZ SASTOQUE</w:t>
      </w:r>
    </w:p>
    <w:p w14:paraId="75004BEF"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color w:val="000000"/>
          <w:sz w:val="22"/>
          <w:szCs w:val="22"/>
        </w:rPr>
        <w:t>Concejal de Bogotá D.C.</w:t>
      </w:r>
    </w:p>
    <w:p w14:paraId="75004BF0" w14:textId="77777777" w:rsidR="005F1BD6" w:rsidRDefault="00E3283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Partido Alianza Verde.</w:t>
      </w:r>
    </w:p>
    <w:p w14:paraId="75004BF1" w14:textId="77777777" w:rsidR="005F1BD6" w:rsidRDefault="005F1BD6">
      <w:pPr>
        <w:jc w:val="both"/>
        <w:rPr>
          <w:rFonts w:ascii="Times New Roman" w:eastAsia="Times New Roman" w:hAnsi="Times New Roman" w:cs="Times New Roman"/>
          <w:sz w:val="22"/>
          <w:szCs w:val="22"/>
        </w:rPr>
      </w:pPr>
    </w:p>
    <w:p w14:paraId="75004BF5" w14:textId="77777777" w:rsidR="005F1BD6" w:rsidRDefault="005F1BD6">
      <w:pPr>
        <w:jc w:val="both"/>
        <w:rPr>
          <w:rFonts w:ascii="Times New Roman" w:eastAsia="Times New Roman" w:hAnsi="Times New Roman" w:cs="Times New Roman"/>
          <w:sz w:val="22"/>
          <w:szCs w:val="22"/>
        </w:rPr>
      </w:pPr>
    </w:p>
    <w:p w14:paraId="75004BF6" w14:textId="77777777" w:rsidR="005F1BD6" w:rsidRDefault="005F1BD6">
      <w:pPr>
        <w:jc w:val="center"/>
        <w:rPr>
          <w:rFonts w:ascii="Times New Roman" w:eastAsia="Times New Roman" w:hAnsi="Times New Roman" w:cs="Times New Roman"/>
        </w:rPr>
      </w:pPr>
    </w:p>
    <w:p w14:paraId="75004BF7" w14:textId="77777777" w:rsidR="005F1BD6" w:rsidRDefault="00E3283E">
      <w:pPr>
        <w:numPr>
          <w:ilvl w:val="0"/>
          <w:numId w:val="1"/>
        </w:numPr>
        <w:rPr>
          <w:rFonts w:ascii="Times New Roman" w:eastAsia="Times New Roman" w:hAnsi="Times New Roman" w:cs="Times New Roman"/>
          <w:b/>
        </w:rPr>
      </w:pPr>
      <w:bookmarkStart w:id="1" w:name="_heading=h.gjdgxs" w:colFirst="0" w:colLast="0"/>
      <w:bookmarkEnd w:id="1"/>
      <w:r>
        <w:rPr>
          <w:rFonts w:ascii="Times New Roman" w:eastAsia="Times New Roman" w:hAnsi="Times New Roman" w:cs="Times New Roman"/>
          <w:b/>
        </w:rPr>
        <w:t>ARTICULADO</w:t>
      </w:r>
    </w:p>
    <w:p w14:paraId="75004BF8" w14:textId="77777777" w:rsidR="005F1BD6" w:rsidRDefault="005F1BD6">
      <w:pPr>
        <w:jc w:val="both"/>
        <w:rPr>
          <w:rFonts w:ascii="Times New Roman" w:eastAsia="Times New Roman" w:hAnsi="Times New Roman" w:cs="Times New Roman"/>
        </w:rPr>
      </w:pPr>
    </w:p>
    <w:p w14:paraId="75004BF9" w14:textId="77777777" w:rsidR="005F1BD6" w:rsidRDefault="005F1BD6">
      <w:pPr>
        <w:jc w:val="both"/>
        <w:rPr>
          <w:rFonts w:ascii="Times New Roman" w:eastAsia="Times New Roman" w:hAnsi="Times New Roman" w:cs="Times New Roman"/>
        </w:rPr>
      </w:pPr>
    </w:p>
    <w:p w14:paraId="75004BFA" w14:textId="15F33BB7" w:rsidR="005F1BD6" w:rsidRDefault="00E3283E">
      <w:pPr>
        <w:jc w:val="center"/>
        <w:rPr>
          <w:rFonts w:ascii="Times New Roman" w:eastAsia="Times New Roman" w:hAnsi="Times New Roman" w:cs="Times New Roman"/>
          <w:b/>
        </w:rPr>
      </w:pPr>
      <w:r>
        <w:rPr>
          <w:rFonts w:ascii="Times New Roman" w:eastAsia="Times New Roman" w:hAnsi="Times New Roman" w:cs="Times New Roman"/>
          <w:b/>
        </w:rPr>
        <w:t>PROYECTO DE ACUERDO NO. ______ DE 2025</w:t>
      </w:r>
    </w:p>
    <w:p w14:paraId="75004BFB" w14:textId="77777777" w:rsidR="005F1BD6" w:rsidRDefault="00E3283E">
      <w:pPr>
        <w:jc w:val="both"/>
        <w:rPr>
          <w:rFonts w:ascii="Times New Roman" w:eastAsia="Times New Roman" w:hAnsi="Times New Roman" w:cs="Times New Roman"/>
          <w:b/>
        </w:rPr>
      </w:pPr>
      <w:r>
        <w:rPr>
          <w:rFonts w:ascii="Times New Roman" w:eastAsia="Times New Roman" w:hAnsi="Times New Roman" w:cs="Times New Roman"/>
          <w:b/>
        </w:rPr>
        <w:t xml:space="preserve"> </w:t>
      </w:r>
    </w:p>
    <w:p w14:paraId="75004BFC" w14:textId="77777777" w:rsidR="005F1BD6" w:rsidRDefault="005F1BD6">
      <w:pPr>
        <w:jc w:val="both"/>
        <w:rPr>
          <w:rFonts w:ascii="Times New Roman" w:eastAsia="Times New Roman" w:hAnsi="Times New Roman" w:cs="Times New Roman"/>
        </w:rPr>
      </w:pPr>
    </w:p>
    <w:p w14:paraId="75004BFD" w14:textId="77777777" w:rsidR="005F1BD6" w:rsidRDefault="00E3283E">
      <w:pPr>
        <w:jc w:val="center"/>
        <w:rPr>
          <w:rFonts w:ascii="Times New Roman" w:eastAsia="Times New Roman" w:hAnsi="Times New Roman" w:cs="Times New Roman"/>
          <w:i/>
        </w:rPr>
      </w:pPr>
      <w:r>
        <w:rPr>
          <w:rFonts w:ascii="Times New Roman" w:eastAsia="Times New Roman" w:hAnsi="Times New Roman" w:cs="Times New Roman"/>
          <w:b/>
          <w:i/>
        </w:rPr>
        <w:t>“POR MEDIO DEL CUAL SE INCENTIVAN Y RECONOCEN LAS ACTIVIDADES DE LOS ESTABLECIMIENTOS DE COMERCIO QUE FAVORECEN LA SEGURIDAD Y LA CONVIVENCIA CIUDADANA EN BOGOTÁ D.C. Y SE DICTAN OTRAS DISPOSICIONES”</w:t>
      </w:r>
    </w:p>
    <w:p w14:paraId="75004BFE" w14:textId="77777777" w:rsidR="005F1BD6" w:rsidRDefault="005F1BD6">
      <w:pPr>
        <w:jc w:val="center"/>
        <w:rPr>
          <w:rFonts w:ascii="Times New Roman" w:eastAsia="Times New Roman" w:hAnsi="Times New Roman" w:cs="Times New Roman"/>
          <w:i/>
        </w:rPr>
      </w:pPr>
    </w:p>
    <w:p w14:paraId="75004BFF" w14:textId="77777777" w:rsidR="005F1BD6" w:rsidRDefault="00E3283E">
      <w:pPr>
        <w:pBdr>
          <w:top w:val="nil"/>
          <w:left w:val="nil"/>
          <w:bottom w:val="nil"/>
          <w:right w:val="nil"/>
          <w:between w:val="nil"/>
        </w:pBdr>
        <w:spacing w:before="240"/>
        <w:jc w:val="center"/>
        <w:rPr>
          <w:rFonts w:ascii="Times New Roman" w:eastAsia="Times New Roman" w:hAnsi="Times New Roman" w:cs="Times New Roman"/>
          <w:color w:val="000000"/>
        </w:rPr>
      </w:pPr>
      <w:r>
        <w:rPr>
          <w:rFonts w:ascii="Times New Roman" w:eastAsia="Times New Roman" w:hAnsi="Times New Roman" w:cs="Times New Roman"/>
          <w:b/>
          <w:color w:val="000000"/>
          <w:sz w:val="22"/>
          <w:szCs w:val="22"/>
        </w:rPr>
        <w:t>EL CONCEJO DE BOGOTÁ D.C.</w:t>
      </w:r>
    </w:p>
    <w:p w14:paraId="75004C00" w14:textId="77777777" w:rsidR="005F1BD6" w:rsidRDefault="005F1BD6">
      <w:pPr>
        <w:jc w:val="center"/>
        <w:rPr>
          <w:rFonts w:ascii="Times New Roman" w:eastAsia="Times New Roman" w:hAnsi="Times New Roman" w:cs="Times New Roman"/>
          <w:i/>
        </w:rPr>
      </w:pPr>
    </w:p>
    <w:p w14:paraId="75004C01"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02" w14:textId="77777777" w:rsidR="005F1BD6" w:rsidRDefault="00E3283E">
      <w:pPr>
        <w:jc w:val="center"/>
        <w:rPr>
          <w:rFonts w:ascii="Times New Roman" w:eastAsia="Times New Roman" w:hAnsi="Times New Roman" w:cs="Times New Roman"/>
        </w:rPr>
      </w:pPr>
      <w:r>
        <w:rPr>
          <w:rFonts w:ascii="Times New Roman" w:eastAsia="Times New Roman" w:hAnsi="Times New Roman" w:cs="Times New Roman"/>
        </w:rPr>
        <w:t>En ejercicio de las competencias constitucionales y legales, específicamente los artículos 1,  18 y 23 del Decreto Ley 1421 de 1993 y el artículo 12 y 24 de la  Ley 1801 de 2016</w:t>
      </w:r>
    </w:p>
    <w:p w14:paraId="75004C03" w14:textId="77777777" w:rsidR="005F1BD6" w:rsidRDefault="005F1BD6">
      <w:pPr>
        <w:jc w:val="both"/>
        <w:rPr>
          <w:rFonts w:ascii="Times New Roman" w:eastAsia="Times New Roman" w:hAnsi="Times New Roman" w:cs="Times New Roman"/>
        </w:rPr>
      </w:pPr>
    </w:p>
    <w:p w14:paraId="75004C04" w14:textId="77777777" w:rsidR="005F1BD6" w:rsidRDefault="00E3283E">
      <w:pPr>
        <w:jc w:val="center"/>
        <w:rPr>
          <w:rFonts w:ascii="Times New Roman" w:eastAsia="Times New Roman" w:hAnsi="Times New Roman" w:cs="Times New Roman"/>
          <w:b/>
        </w:rPr>
      </w:pPr>
      <w:r>
        <w:rPr>
          <w:rFonts w:ascii="Times New Roman" w:eastAsia="Times New Roman" w:hAnsi="Times New Roman" w:cs="Times New Roman"/>
          <w:b/>
        </w:rPr>
        <w:t>ACUERDA:</w:t>
      </w:r>
    </w:p>
    <w:p w14:paraId="75004C05" w14:textId="77777777" w:rsidR="005F1BD6" w:rsidRDefault="005F1BD6">
      <w:pPr>
        <w:jc w:val="both"/>
        <w:rPr>
          <w:rFonts w:ascii="Times New Roman" w:eastAsia="Times New Roman" w:hAnsi="Times New Roman" w:cs="Times New Roman"/>
        </w:rPr>
      </w:pPr>
    </w:p>
    <w:p w14:paraId="75004C06"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b/>
        </w:rPr>
        <w:t xml:space="preserve">ARTÍCULO 1. OBJETO. </w:t>
      </w:r>
      <w:r>
        <w:rPr>
          <w:rFonts w:ascii="Times New Roman" w:eastAsia="Times New Roman" w:hAnsi="Times New Roman" w:cs="Times New Roman"/>
        </w:rPr>
        <w:t>El presente Acuerdo tiene por objeto fijar los lineamientos para el reconocimiento de estímulos a las personas naturales y jurídicas domiciliadas en Bogotá que desempeñen actividades económicas donde se involucren el expendio de bebidas embriagantes y/o alcohólicas por participar en políticas, planes, programas, proyectos, estrategias o actividades similares que adelante la Administración Distrital con el fin de generar espacios favorables a la convivencia y seguridad ciudadana en las zonas de rumba del Distrito Capital.</w:t>
      </w:r>
    </w:p>
    <w:p w14:paraId="75004C07"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08"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b/>
        </w:rPr>
        <w:t>ARTÍCULO 2. DEBER DE ESTIMULAR COMPORTAMIENTOS QUE FAVORECEN LA CONVIVENCIA CIUDADANA.</w:t>
      </w:r>
      <w:r>
        <w:rPr>
          <w:rFonts w:ascii="Times New Roman" w:eastAsia="Times New Roman" w:hAnsi="Times New Roman" w:cs="Times New Roman"/>
        </w:rPr>
        <w:t xml:space="preserve"> La Administración Distrital, en cumplimiento de lo establecido en el artículo 248 del Acuerdo Distrital 079 de 2003, deberá establecer incentivos y hacer reconocimientos a los personas naturales o jurídicas domiciliadas en Bogotá D.C. que desempeñen actividades económicas donde se involucre el expendio de bebidas embriagantes y/o alcohólicas, cuando éstas contribuyan con acciones encaminadas a favorecer la seguridad y convivencia ciudadana en entornos de rumba de la ciudad.</w:t>
      </w:r>
    </w:p>
    <w:p w14:paraId="75004C09"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0A"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Estos reconocimientos o incentivos podrán concederse como consecuencia de experiencias de autorregulación promovidas por los propios establecimientos de comercio o en el marco de políticas, planes, programas, proyectos y/o estrategias impulsadas por la Administración Distrital, a iniciativa de los sectores de Gobierno; Seguridad, Convivencia y Justicia; Desarrollo Económico, Industria y Turismo; Cultura, Recreación y Deporte; Ambiente y Mujer.</w:t>
      </w:r>
    </w:p>
    <w:p w14:paraId="75004C0B"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0C"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b/>
        </w:rPr>
        <w:t>ARTÍCULO 3. INCENTIVOS Y RECONOCIMIENTO.</w:t>
      </w:r>
      <w:r>
        <w:rPr>
          <w:rFonts w:ascii="Times New Roman" w:eastAsia="Times New Roman" w:hAnsi="Times New Roman" w:cs="Times New Roman"/>
        </w:rPr>
        <w:t xml:space="preserve"> Las personas naturales y jurídicas que desempeñen actividades económicas donde se involucren el expendio de bebidas embriagantes y/o alcohólicas, que se acojan a políticas, planes, programas, proyectos y/o estrategias adelantadas por la Administración Distrital y cuya finalidad sea la promoción y generación de comportamientos o espacios favorables a la convivencia y seguridad ciudadana, deberán ser objeto de los incentivos y reconocimientos que para el efecto determine la Administración Distrital en el marco de sus competencias, con algunos de los siguientes beneficios:</w:t>
      </w:r>
    </w:p>
    <w:p w14:paraId="75004C0D"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0E" w14:textId="77777777" w:rsidR="005F1BD6" w:rsidRDefault="00E3283E">
      <w:pPr>
        <w:numPr>
          <w:ilvl w:val="0"/>
          <w:numId w:val="2"/>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Extensión diferencial de los horarios para el expendio y/o consumo de bebidas alcohólicas y embriagantes.  </w:t>
      </w:r>
    </w:p>
    <w:p w14:paraId="75004C0F" w14:textId="77777777" w:rsidR="005F1BD6" w:rsidRDefault="00E3283E">
      <w:pPr>
        <w:ind w:left="720"/>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10" w14:textId="77777777" w:rsidR="005F1BD6" w:rsidRDefault="00E3283E">
      <w:pPr>
        <w:numPr>
          <w:ilvl w:val="0"/>
          <w:numId w:val="2"/>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Sello de reconocimiento </w:t>
      </w:r>
      <w:r>
        <w:rPr>
          <w:rFonts w:ascii="Times New Roman" w:eastAsia="Times New Roman" w:hAnsi="Times New Roman" w:cs="Times New Roman"/>
        </w:rPr>
        <w:t xml:space="preserve">“Rumba Segura” </w:t>
      </w:r>
      <w:r>
        <w:rPr>
          <w:rFonts w:ascii="Times New Roman" w:eastAsia="Times New Roman" w:hAnsi="Times New Roman" w:cs="Times New Roman"/>
          <w:color w:val="000000"/>
        </w:rPr>
        <w:t>al establecimiento por la promoción y generación de comportamientos favorables a la convivencia y seguridad ciudadana.</w:t>
      </w:r>
    </w:p>
    <w:p w14:paraId="75004C11" w14:textId="77777777" w:rsidR="005F1BD6" w:rsidRDefault="00E3283E">
      <w:pPr>
        <w:ind w:left="720"/>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12" w14:textId="77777777" w:rsidR="005F1BD6" w:rsidRDefault="00E3283E">
      <w:pPr>
        <w:numPr>
          <w:ilvl w:val="0"/>
          <w:numId w:val="2"/>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Participación en las agendas culturales, de promoción al emprendimiento y de otras actividades del Distrito con participación del público.</w:t>
      </w:r>
    </w:p>
    <w:p w14:paraId="75004C13"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14" w14:textId="77777777" w:rsidR="005F1BD6" w:rsidRDefault="00E3283E">
      <w:pPr>
        <w:numPr>
          <w:ilvl w:val="0"/>
          <w:numId w:val="2"/>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Participación en portafolios de estímulos en materia cultural, económica y turística creados por la Administración Distrital, con la posibilidad de obtener puntajes adicionales.</w:t>
      </w:r>
    </w:p>
    <w:p w14:paraId="75004C15"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16"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b/>
        </w:rPr>
        <w:t>ARTÍCULO 4. LINEAMIENTOS.</w:t>
      </w:r>
      <w:r>
        <w:rPr>
          <w:rFonts w:ascii="Times New Roman" w:eastAsia="Times New Roman" w:hAnsi="Times New Roman" w:cs="Times New Roman"/>
        </w:rPr>
        <w:t xml:space="preserve"> La Administración Distrital tendrá en cuenta los siguientes lineamientos para el otorgamiento de los estímulos definidos en el presente Acuerdo:</w:t>
      </w:r>
    </w:p>
    <w:p w14:paraId="75004C17"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18" w14:textId="77777777" w:rsidR="005F1BD6" w:rsidRDefault="00E3283E">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Participar de las políticas, planes, programas, proyectos, estrategias, actividades y/o productos en materia de seguridad y convivencia formulados por el Distrito Capital.</w:t>
      </w:r>
    </w:p>
    <w:p w14:paraId="75004C19"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1A" w14:textId="77777777" w:rsidR="005F1BD6" w:rsidRDefault="00E3283E">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Dar cumplimiento a las medidas dictadas por parte de la Administración Distrital en materia de seguridad y convivencia ciudadana.</w:t>
      </w:r>
    </w:p>
    <w:p w14:paraId="75004C1B"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1C" w14:textId="77777777" w:rsidR="005F1BD6" w:rsidRDefault="00E3283E">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Contribuir en la elaboración, concertación, difusión y promoción al cumplimiento de las medidas en materia de seguridad y convivencia ciudadana formuladas por la Administración Distrital.</w:t>
      </w:r>
    </w:p>
    <w:p w14:paraId="75004C1D"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1E" w14:textId="77777777" w:rsidR="005F1BD6" w:rsidRDefault="00E3283E">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Colaborar con el aporte de información requerida por la Administración Distrital para la adopción de medidas en materia de seguridad y convivencia ciudadana.</w:t>
      </w:r>
    </w:p>
    <w:p w14:paraId="75004C1F"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20" w14:textId="77777777" w:rsidR="005F1BD6" w:rsidRDefault="00E3283E">
      <w:pPr>
        <w:numPr>
          <w:ilvl w:val="0"/>
          <w:numId w:val="3"/>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Cumplir con las demás condiciones establecidas por la Administración Distrital.</w:t>
      </w:r>
    </w:p>
    <w:p w14:paraId="75004C21"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75004C22"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b/>
        </w:rPr>
        <w:t>ARTÍCULO 5. REGLAMENTACIÓN E IMPLEMENTACIÓN.</w:t>
      </w:r>
      <w:r>
        <w:rPr>
          <w:rFonts w:ascii="Times New Roman" w:eastAsia="Times New Roman" w:hAnsi="Times New Roman" w:cs="Times New Roman"/>
        </w:rPr>
        <w:t xml:space="preserve"> La Administración Distrital reglamentará e iniciará la implementación de las disposiciones del presente Acuerdo dentro de los seis (6) meses siguientes a su entrada en vigencia.</w:t>
      </w:r>
    </w:p>
    <w:p w14:paraId="75004C23" w14:textId="77777777" w:rsidR="005F1BD6" w:rsidRDefault="005F1BD6">
      <w:pPr>
        <w:jc w:val="both"/>
        <w:rPr>
          <w:rFonts w:ascii="Times New Roman" w:eastAsia="Times New Roman" w:hAnsi="Times New Roman" w:cs="Times New Roman"/>
        </w:rPr>
      </w:pPr>
    </w:p>
    <w:p w14:paraId="75004C24"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b/>
        </w:rPr>
        <w:t>ARTÍCULO 6. TRÁMITES.</w:t>
      </w:r>
      <w:r>
        <w:rPr>
          <w:rFonts w:ascii="Times New Roman" w:eastAsia="Times New Roman" w:hAnsi="Times New Roman" w:cs="Times New Roman"/>
        </w:rPr>
        <w:t xml:space="preserve"> La Administración Distrital establecerá una estrategia con el fin de reducir y agilizar los trámites asociados a la vinculación efectiva de los establecimientos comerciales a las Zonas Seguras, Redes del Cuidado o la figura que haga sus veces. </w:t>
      </w:r>
    </w:p>
    <w:p w14:paraId="75004C25" w14:textId="77777777" w:rsidR="005F1BD6" w:rsidRDefault="005F1BD6">
      <w:pPr>
        <w:jc w:val="both"/>
        <w:rPr>
          <w:rFonts w:ascii="Times New Roman" w:eastAsia="Times New Roman" w:hAnsi="Times New Roman" w:cs="Times New Roman"/>
        </w:rPr>
      </w:pPr>
    </w:p>
    <w:p w14:paraId="75004C26"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b/>
        </w:rPr>
        <w:t>ARTÍCULO 7. PARTICIPACIÓN.</w:t>
      </w:r>
      <w:r>
        <w:rPr>
          <w:rFonts w:ascii="Times New Roman" w:eastAsia="Times New Roman" w:hAnsi="Times New Roman" w:cs="Times New Roman"/>
        </w:rPr>
        <w:t xml:space="preserve"> La Administración Distrital podrá hacer partícipe a los establecimientos comerciales relacionados en el presente Acuerdo en los Consejos Locales de Seguridad y Convivencia como una alternativa para la participación incidente y la articulación interinstitucional. </w:t>
      </w:r>
    </w:p>
    <w:p w14:paraId="75004C27" w14:textId="77777777" w:rsidR="005F1BD6" w:rsidRDefault="005F1BD6">
      <w:pPr>
        <w:jc w:val="both"/>
        <w:rPr>
          <w:rFonts w:ascii="Times New Roman" w:eastAsia="Times New Roman" w:hAnsi="Times New Roman" w:cs="Times New Roman"/>
        </w:rPr>
      </w:pPr>
    </w:p>
    <w:p w14:paraId="75004C28" w14:textId="77777777" w:rsidR="005F1BD6" w:rsidRDefault="00E3283E">
      <w:pPr>
        <w:jc w:val="both"/>
        <w:rPr>
          <w:rFonts w:ascii="Times New Roman" w:eastAsia="Times New Roman" w:hAnsi="Times New Roman" w:cs="Times New Roman"/>
        </w:rPr>
      </w:pPr>
      <w:r>
        <w:rPr>
          <w:rFonts w:ascii="Times New Roman" w:eastAsia="Times New Roman" w:hAnsi="Times New Roman" w:cs="Times New Roman"/>
          <w:b/>
        </w:rPr>
        <w:t>ARTÍCULO 8. VIGENCIA.</w:t>
      </w:r>
      <w:r>
        <w:rPr>
          <w:rFonts w:ascii="Times New Roman" w:eastAsia="Times New Roman" w:hAnsi="Times New Roman" w:cs="Times New Roman"/>
        </w:rPr>
        <w:t xml:space="preserve"> El presente acuerdo es vigente a partir de su publicación y deroga las disposiciones que le sean contrarias.</w:t>
      </w:r>
    </w:p>
    <w:p w14:paraId="75004C29" w14:textId="77777777" w:rsidR="005F1BD6" w:rsidRDefault="005F1BD6">
      <w:pPr>
        <w:jc w:val="both"/>
      </w:pPr>
    </w:p>
    <w:p w14:paraId="75004C2A" w14:textId="77777777" w:rsidR="005F1BD6" w:rsidRDefault="00E3283E">
      <w:pPr>
        <w:spacing w:line="360" w:lineRule="auto"/>
        <w:jc w:val="center"/>
        <w:rPr>
          <w:rFonts w:ascii="Times New Roman" w:eastAsia="Times New Roman" w:hAnsi="Times New Roman" w:cs="Times New Roman"/>
          <w:b/>
        </w:rPr>
      </w:pPr>
      <w:r>
        <w:rPr>
          <w:rFonts w:ascii="Times New Roman" w:eastAsia="Times New Roman" w:hAnsi="Times New Roman" w:cs="Times New Roman"/>
          <w:b/>
        </w:rPr>
        <w:t>PUBLÍQUESE, COMUNÍQUESE Y CÚMPLASE</w:t>
      </w:r>
    </w:p>
    <w:p w14:paraId="75004C2B" w14:textId="77777777" w:rsidR="005F1BD6" w:rsidRDefault="005F1BD6">
      <w:pPr>
        <w:jc w:val="both"/>
      </w:pPr>
    </w:p>
    <w:sectPr w:rsidR="005F1BD6">
      <w:headerReference w:type="default" r:id="rId18"/>
      <w:footerReference w:type="even" r:id="rId19"/>
      <w:footerReference w:type="default" r:id="rId20"/>
      <w:pgSz w:w="12242" w:h="15842"/>
      <w:pgMar w:top="1701" w:right="1701" w:bottom="1701" w:left="1701" w:header="709"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004C5A" w14:textId="77777777" w:rsidR="004D2661" w:rsidRDefault="00E3283E">
      <w:r>
        <w:separator/>
      </w:r>
    </w:p>
  </w:endnote>
  <w:endnote w:type="continuationSeparator" w:id="0">
    <w:p w14:paraId="75004C5C" w14:textId="77777777" w:rsidR="004D2661" w:rsidRDefault="00E328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roman"/>
    <w:notTrueType/>
    <w:pitch w:val="default"/>
  </w:font>
  <w:font w:name="Georgia">
    <w:panose1 w:val="02040502050405020303"/>
    <w:charset w:val="00"/>
    <w:family w:val="auto"/>
    <w:pitch w:val="default"/>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004C4E" w14:textId="77777777" w:rsidR="005F1BD6" w:rsidRDefault="00E3283E">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end"/>
    </w:r>
  </w:p>
  <w:p w14:paraId="75004C4F" w14:textId="77777777" w:rsidR="005F1BD6" w:rsidRDefault="005F1BD6">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004C50" w14:textId="77777777" w:rsidR="005F1BD6" w:rsidRDefault="005F1BD6">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jc w:val="center"/>
      <w:rPr>
        <w:color w:val="000000"/>
        <w:sz w:val="18"/>
        <w:szCs w:val="18"/>
      </w:rPr>
    </w:pPr>
  </w:p>
  <w:p w14:paraId="75004C51" w14:textId="77777777" w:rsidR="005F1BD6" w:rsidRDefault="005F1BD6">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jc w:val="center"/>
      <w:rPr>
        <w:color w:val="000000"/>
        <w:sz w:val="18"/>
        <w:szCs w:val="18"/>
      </w:rPr>
    </w:pPr>
  </w:p>
  <w:p w14:paraId="75004C52" w14:textId="77777777" w:rsidR="005F1BD6" w:rsidRDefault="005F1BD6">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jc w:val="center"/>
      <w:rPr>
        <w:color w:val="000000"/>
        <w:sz w:val="16"/>
        <w:szCs w:val="16"/>
      </w:rPr>
    </w:pPr>
  </w:p>
  <w:p w14:paraId="75004C53" w14:textId="77777777" w:rsidR="005F1BD6" w:rsidRDefault="005F1BD6">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rPr>
        <w:color w:val="000000"/>
        <w:sz w:val="16"/>
        <w:szCs w:val="16"/>
      </w:rPr>
    </w:pPr>
  </w:p>
  <w:p w14:paraId="75004C54" w14:textId="77777777" w:rsidR="005F1BD6" w:rsidRDefault="005F1BD6">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rPr>
        <w:color w:val="000000"/>
        <w:sz w:val="16"/>
        <w:szCs w:val="16"/>
      </w:rPr>
    </w:pPr>
  </w:p>
  <w:p w14:paraId="75004C55" w14:textId="77777777" w:rsidR="005F1BD6" w:rsidRDefault="005F1BD6">
    <w:pPr>
      <w:jc w:val="right"/>
      <w:rPr>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004C56" w14:textId="77777777" w:rsidR="004D2661" w:rsidRDefault="00E3283E">
      <w:r>
        <w:separator/>
      </w:r>
    </w:p>
  </w:footnote>
  <w:footnote w:type="continuationSeparator" w:id="0">
    <w:p w14:paraId="75004C58" w14:textId="77777777" w:rsidR="004D2661" w:rsidRDefault="00E328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004C40" w14:textId="77777777" w:rsidR="005F1BD6" w:rsidRDefault="005F1BD6">
    <w:pPr>
      <w:widowControl w:val="0"/>
      <w:pBdr>
        <w:top w:val="none" w:sz="0" w:space="0" w:color="000000"/>
        <w:left w:val="none" w:sz="0" w:space="0" w:color="000000"/>
        <w:bottom w:val="none" w:sz="0" w:space="0" w:color="000000"/>
        <w:right w:val="none" w:sz="0" w:space="0" w:color="000000"/>
        <w:between w:val="none" w:sz="0" w:space="0" w:color="000000"/>
      </w:pBdr>
      <w:spacing w:line="276" w:lineRule="auto"/>
      <w:rPr>
        <w:rFonts w:ascii="Bookman Old Style" w:eastAsia="Bookman Old Style" w:hAnsi="Bookman Old Style" w:cs="Bookman Old Style"/>
        <w:sz w:val="20"/>
        <w:szCs w:val="20"/>
      </w:rPr>
    </w:pPr>
  </w:p>
  <w:tbl>
    <w:tblPr>
      <w:tblStyle w:val="a"/>
      <w:tblW w:w="8830"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61"/>
      <w:gridCol w:w="4235"/>
      <w:gridCol w:w="2234"/>
    </w:tblGrid>
    <w:tr w:rsidR="005F1BD6" w14:paraId="75004C44" w14:textId="77777777">
      <w:trPr>
        <w:trHeight w:val="454"/>
      </w:trPr>
      <w:tc>
        <w:tcPr>
          <w:tcW w:w="2361" w:type="dxa"/>
          <w:vMerge w:val="restart"/>
          <w:tcBorders>
            <w:top w:val="single" w:sz="4" w:space="0" w:color="000000"/>
            <w:left w:val="single" w:sz="4" w:space="0" w:color="000000"/>
            <w:bottom w:val="single" w:sz="4" w:space="0" w:color="000000"/>
            <w:right w:val="single" w:sz="4" w:space="0" w:color="000000"/>
          </w:tcBorders>
          <w:tcMar>
            <w:top w:w="100" w:type="dxa"/>
            <w:left w:w="70" w:type="dxa"/>
            <w:bottom w:w="100" w:type="dxa"/>
            <w:right w:w="70" w:type="dxa"/>
          </w:tcMar>
          <w:vAlign w:val="center"/>
        </w:tcPr>
        <w:p w14:paraId="75004C41" w14:textId="77777777" w:rsidR="005F1BD6" w:rsidRDefault="00E3283E">
          <w:pPr>
            <w:jc w:val="center"/>
            <w:rPr>
              <w:sz w:val="16"/>
              <w:szCs w:val="16"/>
            </w:rPr>
          </w:pPr>
          <w:r>
            <w:rPr>
              <w:noProof/>
              <w:sz w:val="16"/>
              <w:szCs w:val="16"/>
              <w:lang w:val="es-CO"/>
            </w:rPr>
            <w:drawing>
              <wp:inline distT="0" distB="0" distL="0" distR="0" wp14:anchorId="75004C56" wp14:editId="75004C57">
                <wp:extent cx="749935" cy="883920"/>
                <wp:effectExtent l="0" t="0" r="0" b="0"/>
                <wp:docPr id="1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49935" cy="883920"/>
                        </a:xfrm>
                        <a:prstGeom prst="rect">
                          <a:avLst/>
                        </a:prstGeom>
                        <a:ln/>
                      </pic:spPr>
                    </pic:pic>
                  </a:graphicData>
                </a:graphic>
              </wp:inline>
            </w:drawing>
          </w:r>
        </w:p>
      </w:tc>
      <w:tc>
        <w:tcPr>
          <w:tcW w:w="4235" w:type="dxa"/>
          <w:tcBorders>
            <w:top w:val="single" w:sz="4" w:space="0" w:color="000000"/>
            <w:left w:val="single" w:sz="4" w:space="0" w:color="000000"/>
            <w:bottom w:val="single" w:sz="4" w:space="0" w:color="000000"/>
            <w:right w:val="single" w:sz="4" w:space="0" w:color="000000"/>
          </w:tcBorders>
          <w:tcMar>
            <w:top w:w="100" w:type="dxa"/>
            <w:left w:w="70" w:type="dxa"/>
            <w:bottom w:w="100" w:type="dxa"/>
            <w:right w:w="70" w:type="dxa"/>
          </w:tcMar>
          <w:vAlign w:val="center"/>
        </w:tcPr>
        <w:p w14:paraId="75004C42" w14:textId="77777777" w:rsidR="005F1BD6" w:rsidRDefault="00E3283E">
          <w:pPr>
            <w:jc w:val="center"/>
            <w:rPr>
              <w:sz w:val="18"/>
              <w:szCs w:val="18"/>
            </w:rPr>
          </w:pPr>
          <w:r>
            <w:rPr>
              <w:sz w:val="18"/>
              <w:szCs w:val="18"/>
            </w:rPr>
            <w:t>PROCESO GESTIÓN NORMATIVA</w:t>
          </w:r>
        </w:p>
      </w:tc>
      <w:tc>
        <w:tcPr>
          <w:tcW w:w="2234" w:type="dxa"/>
          <w:tcBorders>
            <w:top w:val="single" w:sz="4" w:space="0" w:color="000000"/>
            <w:left w:val="single" w:sz="4" w:space="0" w:color="000000"/>
            <w:bottom w:val="single" w:sz="4" w:space="0" w:color="000000"/>
            <w:right w:val="single" w:sz="4" w:space="0" w:color="000000"/>
          </w:tcBorders>
          <w:tcMar>
            <w:top w:w="100" w:type="dxa"/>
            <w:left w:w="70" w:type="dxa"/>
            <w:bottom w:w="100" w:type="dxa"/>
            <w:right w:w="70" w:type="dxa"/>
          </w:tcMar>
          <w:vAlign w:val="center"/>
        </w:tcPr>
        <w:p w14:paraId="75004C43" w14:textId="77777777" w:rsidR="005F1BD6" w:rsidRDefault="00E3283E">
          <w:pPr>
            <w:rPr>
              <w:sz w:val="16"/>
              <w:szCs w:val="16"/>
            </w:rPr>
          </w:pPr>
          <w:r>
            <w:rPr>
              <w:sz w:val="16"/>
              <w:szCs w:val="16"/>
            </w:rPr>
            <w:t>CÓDIGO</w:t>
          </w:r>
          <w:r>
            <w:rPr>
              <w:color w:val="3366FF"/>
              <w:sz w:val="16"/>
              <w:szCs w:val="16"/>
            </w:rPr>
            <w:t xml:space="preserve">: </w:t>
          </w:r>
          <w:r>
            <w:rPr>
              <w:sz w:val="16"/>
              <w:szCs w:val="16"/>
            </w:rPr>
            <w:t>GNV-FO-001</w:t>
          </w:r>
        </w:p>
      </w:tc>
    </w:tr>
    <w:tr w:rsidR="005F1BD6" w14:paraId="75004C48" w14:textId="77777777">
      <w:trPr>
        <w:trHeight w:val="454"/>
      </w:trPr>
      <w:tc>
        <w:tcPr>
          <w:tcW w:w="2361" w:type="dxa"/>
          <w:vMerge/>
          <w:tcBorders>
            <w:top w:val="single" w:sz="4" w:space="0" w:color="000000"/>
            <w:left w:val="single" w:sz="4" w:space="0" w:color="000000"/>
            <w:bottom w:val="single" w:sz="4" w:space="0" w:color="000000"/>
            <w:right w:val="single" w:sz="4" w:space="0" w:color="000000"/>
          </w:tcBorders>
          <w:tcMar>
            <w:top w:w="100" w:type="dxa"/>
            <w:left w:w="70" w:type="dxa"/>
            <w:bottom w:w="100" w:type="dxa"/>
            <w:right w:w="70" w:type="dxa"/>
          </w:tcMar>
          <w:vAlign w:val="center"/>
        </w:tcPr>
        <w:p w14:paraId="75004C45" w14:textId="77777777" w:rsidR="005F1BD6" w:rsidRDefault="005F1BD6">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single" w:sz="4" w:space="0" w:color="000000"/>
            <w:bottom w:val="single" w:sz="4" w:space="0" w:color="000000"/>
            <w:right w:val="single" w:sz="4" w:space="0" w:color="000000"/>
          </w:tcBorders>
          <w:tcMar>
            <w:top w:w="100" w:type="dxa"/>
            <w:left w:w="70" w:type="dxa"/>
            <w:bottom w:w="100" w:type="dxa"/>
            <w:right w:w="70" w:type="dxa"/>
          </w:tcMar>
          <w:vAlign w:val="center"/>
        </w:tcPr>
        <w:p w14:paraId="75004C46" w14:textId="77777777" w:rsidR="005F1BD6" w:rsidRDefault="00E3283E">
          <w:pPr>
            <w:jc w:val="center"/>
            <w:rPr>
              <w:sz w:val="20"/>
              <w:szCs w:val="20"/>
            </w:rPr>
          </w:pPr>
          <w:r>
            <w:rPr>
              <w:sz w:val="20"/>
              <w:szCs w:val="20"/>
            </w:rPr>
            <w:t>PRESENTACIÓN PROYECTOS DE ACUERDO</w:t>
          </w:r>
        </w:p>
      </w:tc>
      <w:tc>
        <w:tcPr>
          <w:tcW w:w="2234" w:type="dxa"/>
          <w:tcBorders>
            <w:top w:val="single" w:sz="4" w:space="0" w:color="000000"/>
            <w:left w:val="single" w:sz="4" w:space="0" w:color="000000"/>
            <w:bottom w:val="single" w:sz="4" w:space="0" w:color="000000"/>
            <w:right w:val="single" w:sz="4" w:space="0" w:color="000000"/>
          </w:tcBorders>
          <w:tcMar>
            <w:top w:w="100" w:type="dxa"/>
            <w:left w:w="70" w:type="dxa"/>
            <w:bottom w:w="100" w:type="dxa"/>
            <w:right w:w="70" w:type="dxa"/>
          </w:tcMar>
          <w:vAlign w:val="center"/>
        </w:tcPr>
        <w:p w14:paraId="75004C47" w14:textId="77777777" w:rsidR="005F1BD6" w:rsidRDefault="00E3283E">
          <w:pPr>
            <w:rPr>
              <w:sz w:val="16"/>
              <w:szCs w:val="16"/>
            </w:rPr>
          </w:pPr>
          <w:r>
            <w:rPr>
              <w:sz w:val="16"/>
              <w:szCs w:val="16"/>
            </w:rPr>
            <w:t>VERSIÓN:    02</w:t>
          </w:r>
        </w:p>
      </w:tc>
    </w:tr>
    <w:tr w:rsidR="005F1BD6" w14:paraId="75004C4C" w14:textId="77777777">
      <w:trPr>
        <w:trHeight w:val="454"/>
      </w:trPr>
      <w:tc>
        <w:tcPr>
          <w:tcW w:w="2361" w:type="dxa"/>
          <w:vMerge/>
          <w:tcBorders>
            <w:top w:val="single" w:sz="4" w:space="0" w:color="000000"/>
            <w:left w:val="single" w:sz="4" w:space="0" w:color="000000"/>
            <w:bottom w:val="single" w:sz="4" w:space="0" w:color="000000"/>
            <w:right w:val="single" w:sz="4" w:space="0" w:color="000000"/>
          </w:tcBorders>
          <w:tcMar>
            <w:top w:w="100" w:type="dxa"/>
            <w:left w:w="70" w:type="dxa"/>
            <w:bottom w:w="100" w:type="dxa"/>
            <w:right w:w="70" w:type="dxa"/>
          </w:tcMar>
          <w:vAlign w:val="center"/>
        </w:tcPr>
        <w:p w14:paraId="75004C49" w14:textId="77777777" w:rsidR="005F1BD6" w:rsidRDefault="005F1BD6">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single" w:sz="4" w:space="0" w:color="000000"/>
            <w:bottom w:val="single" w:sz="4" w:space="0" w:color="000000"/>
            <w:right w:val="single" w:sz="4" w:space="0" w:color="000000"/>
          </w:tcBorders>
          <w:tcMar>
            <w:top w:w="100" w:type="dxa"/>
            <w:left w:w="70" w:type="dxa"/>
            <w:bottom w:w="100" w:type="dxa"/>
            <w:right w:w="70" w:type="dxa"/>
          </w:tcMar>
          <w:vAlign w:val="center"/>
        </w:tcPr>
        <w:p w14:paraId="75004C4A" w14:textId="77777777" w:rsidR="005F1BD6" w:rsidRDefault="005F1BD6">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single" w:sz="4" w:space="0" w:color="000000"/>
            <w:bottom w:val="single" w:sz="4" w:space="0" w:color="000000"/>
            <w:right w:val="single" w:sz="4" w:space="0" w:color="000000"/>
          </w:tcBorders>
          <w:tcMar>
            <w:top w:w="100" w:type="dxa"/>
            <w:left w:w="70" w:type="dxa"/>
            <w:bottom w:w="100" w:type="dxa"/>
            <w:right w:w="70" w:type="dxa"/>
          </w:tcMar>
          <w:vAlign w:val="center"/>
        </w:tcPr>
        <w:p w14:paraId="75004C4B" w14:textId="77777777" w:rsidR="005F1BD6" w:rsidRDefault="00E3283E">
          <w:pPr>
            <w:rPr>
              <w:sz w:val="16"/>
              <w:szCs w:val="16"/>
            </w:rPr>
          </w:pPr>
          <w:r>
            <w:rPr>
              <w:sz w:val="16"/>
              <w:szCs w:val="16"/>
            </w:rPr>
            <w:t>FECHA: 14-Nov-2019</w:t>
          </w:r>
        </w:p>
      </w:tc>
    </w:tr>
  </w:tbl>
  <w:p w14:paraId="75004C4D" w14:textId="77777777" w:rsidR="005F1BD6" w:rsidRDefault="005F1BD6">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75402B6"/>
    <w:multiLevelType w:val="multilevel"/>
    <w:tmpl w:val="7F1848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5D7430A"/>
    <w:multiLevelType w:val="multilevel"/>
    <w:tmpl w:val="2564E52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9170782"/>
    <w:multiLevelType w:val="multilevel"/>
    <w:tmpl w:val="73CA68F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1BD6"/>
    <w:rsid w:val="000C1383"/>
    <w:rsid w:val="004D2661"/>
    <w:rsid w:val="005F1BD6"/>
    <w:rsid w:val="00E3283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004B48"/>
  <w15:docId w15:val="{CB96E7EF-CDFF-4738-808C-A3B0F435C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jc w:val="center"/>
      <w:outlineLvl w:val="0"/>
    </w:pPr>
    <w:rPr>
      <w:rFonts w:ascii="Times New Roman" w:eastAsia="Times New Roman" w:hAnsi="Times New Roman" w:cs="Times New Roman"/>
      <w:color w:val="000000"/>
    </w:rPr>
  </w:style>
  <w:style w:type="paragraph" w:styleId="Ttulo2">
    <w:name w:val="heading 2"/>
    <w:basedOn w:val="Normal"/>
    <w:next w:val="Normal"/>
    <w:uiPriority w:val="9"/>
    <w:semiHidden/>
    <w:unhideWhenUsed/>
    <w:qFormat/>
    <w:pPr>
      <w:keepNext/>
      <w:outlineLvl w:val="1"/>
    </w:pPr>
    <w:rPr>
      <w:rFonts w:ascii="Times New Roman" w:eastAsia="Times New Roman" w:hAnsi="Times New Roman" w:cs="Times New Roman"/>
      <w:color w:val="000000"/>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spacing w:before="240" w:after="60"/>
      <w:outlineLvl w:val="3"/>
    </w:pPr>
    <w:rPr>
      <w:rFonts w:ascii="Times New Roman" w:eastAsia="Times New Roman" w:hAnsi="Times New Roman" w:cs="Times New Roman"/>
      <w:b/>
      <w:color w:val="000000"/>
      <w:sz w:val="28"/>
      <w:szCs w:val="28"/>
    </w:rPr>
  </w:style>
  <w:style w:type="paragraph" w:styleId="Ttulo5">
    <w:name w:val="heading 5"/>
    <w:basedOn w:val="Normal"/>
    <w:next w:val="Normal"/>
    <w:uiPriority w:val="9"/>
    <w:semiHidden/>
    <w:unhideWhenUsed/>
    <w:qFormat/>
    <w:pPr>
      <w:keepNext/>
      <w:keepLines/>
      <w:spacing w:before="200"/>
      <w:outlineLvl w:val="4"/>
    </w:pPr>
    <w:rPr>
      <w:rFonts w:ascii="Cambria" w:eastAsia="Cambria" w:hAnsi="Cambria" w:cs="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deglobo">
    <w:name w:val="Balloon Text"/>
    <w:basedOn w:val="Normal"/>
    <w:link w:val="TextodegloboCar"/>
    <w:uiPriority w:val="99"/>
    <w:semiHidden/>
    <w:unhideWhenUsed/>
    <w:rPr>
      <w:rFonts w:ascii="Segoe UI" w:hAnsi="Segoe UI" w:cs="Segoe UI"/>
      <w:sz w:val="18"/>
      <w:szCs w:val="18"/>
    </w:r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semiHidden/>
    <w:unhideWhenUsed/>
    <w:rPr>
      <w:sz w:val="20"/>
      <w:szCs w:val="20"/>
    </w:rPr>
  </w:style>
  <w:style w:type="paragraph" w:styleId="Piedepgina">
    <w:name w:val="footer"/>
    <w:basedOn w:val="Normal"/>
    <w:link w:val="PiedepginaCar"/>
    <w:uiPriority w:val="99"/>
    <w:unhideWhenUsed/>
    <w:pPr>
      <w:tabs>
        <w:tab w:val="center" w:pos="4419"/>
        <w:tab w:val="right" w:pos="8838"/>
      </w:tabs>
    </w:pPr>
  </w:style>
  <w:style w:type="character" w:styleId="Refdenotaalpie">
    <w:name w:val="footnote reference"/>
    <w:basedOn w:val="Fuentedeprrafopredeter"/>
    <w:uiPriority w:val="99"/>
    <w:semiHidden/>
    <w:unhideWhenUsed/>
    <w:qFormat/>
    <w:rPr>
      <w:vertAlign w:val="superscript"/>
    </w:rPr>
  </w:style>
  <w:style w:type="paragraph" w:styleId="Textonotapie">
    <w:name w:val="footnote text"/>
    <w:basedOn w:val="Normal"/>
    <w:link w:val="TextonotapieCar"/>
    <w:uiPriority w:val="99"/>
    <w:semiHidden/>
    <w:unhideWhenUsed/>
    <w:rPr>
      <w:rFonts w:asciiTheme="minorHAnsi" w:eastAsiaTheme="minorHAnsi" w:hAnsiTheme="minorHAnsi" w:cstheme="minorBidi"/>
      <w:sz w:val="20"/>
      <w:szCs w:val="20"/>
      <w:lang w:val="es-CO" w:eastAsia="en-US"/>
    </w:rPr>
  </w:style>
  <w:style w:type="paragraph" w:styleId="Encabezado">
    <w:name w:val="header"/>
    <w:basedOn w:val="Normal"/>
    <w:link w:val="EncabezadoCar"/>
    <w:uiPriority w:val="99"/>
    <w:unhideWhenUsed/>
    <w:pPr>
      <w:tabs>
        <w:tab w:val="center" w:pos="4419"/>
        <w:tab w:val="right" w:pos="8838"/>
      </w:tabs>
    </w:pPr>
  </w:style>
  <w:style w:type="character" w:styleId="Hipervnculo">
    <w:name w:val="Hyperlink"/>
    <w:basedOn w:val="Fuentedeprrafopredeter"/>
    <w:uiPriority w:val="99"/>
    <w:unhideWhenUsed/>
    <w:qFormat/>
    <w:rPr>
      <w:color w:val="0000FF" w:themeColor="hyperlink"/>
      <w:u w:val="single"/>
    </w:rPr>
  </w:style>
  <w:style w:type="paragraph" w:styleId="NormalWeb">
    <w:name w:val="Normal (Web)"/>
    <w:basedOn w:val="Normal"/>
    <w:link w:val="NormalWebCar"/>
    <w:uiPriority w:val="99"/>
    <w:unhideWhenUsed/>
    <w:qFormat/>
    <w:pPr>
      <w:spacing w:before="100" w:beforeAutospacing="1" w:after="100" w:afterAutospacing="1"/>
    </w:pPr>
    <w:rPr>
      <w:rFonts w:ascii="Times New Roman" w:eastAsia="Times New Roman" w:hAnsi="Times New Roman" w:cs="Times New Roman"/>
      <w:lang w:val="es-CO"/>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table" w:customStyle="1" w:styleId="TableNormal4">
    <w:name w:val="Table Normal4"/>
    <w:tblPr>
      <w:tblCellMar>
        <w:top w:w="0" w:type="dxa"/>
        <w:left w:w="0" w:type="dxa"/>
        <w:bottom w:w="0" w:type="dxa"/>
        <w:right w:w="0" w:type="dxa"/>
      </w:tblCellMar>
    </w:tblPr>
  </w:style>
  <w:style w:type="table" w:customStyle="1" w:styleId="TableNormal5">
    <w:name w:val="Table Normal5"/>
    <w:tblPr>
      <w:tblCellMar>
        <w:top w:w="0" w:type="dxa"/>
        <w:left w:w="0" w:type="dxa"/>
        <w:bottom w:w="0" w:type="dxa"/>
        <w:right w:w="0" w:type="dxa"/>
      </w:tblCellMar>
    </w:tblPr>
  </w:style>
  <w:style w:type="table" w:customStyle="1" w:styleId="TableNormal6">
    <w:name w:val="Table Normal6"/>
    <w:tblPr>
      <w:tblCellMar>
        <w:top w:w="0" w:type="dxa"/>
        <w:left w:w="0" w:type="dxa"/>
        <w:bottom w:w="0" w:type="dxa"/>
        <w:right w:w="0" w:type="dxa"/>
      </w:tblCellMar>
    </w:tblPr>
  </w:style>
  <w:style w:type="table" w:customStyle="1" w:styleId="TableNormal7">
    <w:name w:val="Table Normal7"/>
    <w:tblPr>
      <w:tblCellMar>
        <w:top w:w="0" w:type="dxa"/>
        <w:left w:w="0" w:type="dxa"/>
        <w:bottom w:w="0" w:type="dxa"/>
        <w:right w:w="0" w:type="dxa"/>
      </w:tblCellMar>
    </w:tblPr>
  </w:style>
  <w:style w:type="table" w:customStyle="1" w:styleId="TableNormal8">
    <w:name w:val="Table Normal8"/>
    <w:tblPr>
      <w:tblCellMar>
        <w:top w:w="0" w:type="dxa"/>
        <w:left w:w="0" w:type="dxa"/>
        <w:bottom w:w="0" w:type="dxa"/>
        <w:right w:w="0" w:type="dxa"/>
      </w:tblCellMar>
    </w:tblPr>
  </w:style>
  <w:style w:type="table" w:customStyle="1" w:styleId="TableNormal9">
    <w:name w:val="Table Normal9"/>
    <w:tblPr>
      <w:tblCellMar>
        <w:top w:w="0" w:type="dxa"/>
        <w:left w:w="0" w:type="dxa"/>
        <w:bottom w:w="0" w:type="dxa"/>
        <w:right w:w="0" w:type="dxa"/>
      </w:tblCellMar>
    </w:tblPr>
  </w:style>
  <w:style w:type="table" w:customStyle="1" w:styleId="TableNormal10">
    <w:name w:val="Table Normal10"/>
    <w:tblPr>
      <w:tblCellMar>
        <w:top w:w="0" w:type="dxa"/>
        <w:left w:w="0" w:type="dxa"/>
        <w:bottom w:w="0" w:type="dxa"/>
        <w:right w:w="0" w:type="dxa"/>
      </w:tblCellMar>
    </w:tblPr>
  </w:style>
  <w:style w:type="table" w:customStyle="1" w:styleId="TableNormal11">
    <w:name w:val="Table Normal11"/>
    <w:tblPr>
      <w:tblCellMar>
        <w:top w:w="0" w:type="dxa"/>
        <w:left w:w="0" w:type="dxa"/>
        <w:bottom w:w="0" w:type="dxa"/>
        <w:right w:w="0" w:type="dxa"/>
      </w:tblCellMar>
    </w:tblPr>
  </w:style>
  <w:style w:type="table" w:customStyle="1" w:styleId="TableNormal12">
    <w:name w:val="Table Normal12"/>
    <w:tblPr>
      <w:tblCellMar>
        <w:top w:w="0" w:type="dxa"/>
        <w:left w:w="0" w:type="dxa"/>
        <w:bottom w:w="0" w:type="dxa"/>
        <w:right w:w="0" w:type="dxa"/>
      </w:tblCellMar>
    </w:tblPr>
  </w:style>
  <w:style w:type="table" w:customStyle="1" w:styleId="TableNormal13">
    <w:name w:val="Table Normal13"/>
    <w:tblPr>
      <w:tblCellMar>
        <w:top w:w="0" w:type="dxa"/>
        <w:left w:w="0" w:type="dxa"/>
        <w:bottom w:w="0" w:type="dxa"/>
        <w:right w:w="0" w:type="dxa"/>
      </w:tblCellMar>
    </w:tblPr>
  </w:style>
  <w:style w:type="table" w:customStyle="1" w:styleId="Style24">
    <w:name w:val="_Style 24"/>
    <w:basedOn w:val="TableNormal13"/>
    <w:tblPr>
      <w:tblCellMar>
        <w:left w:w="70" w:type="dxa"/>
        <w:right w:w="70" w:type="dxa"/>
      </w:tblCellMar>
    </w:tblPr>
  </w:style>
  <w:style w:type="character" w:customStyle="1" w:styleId="TextocomentarioCar">
    <w:name w:val="Texto comentario Car"/>
    <w:basedOn w:val="Fuentedeprrafopredeter"/>
    <w:link w:val="Textocomentario"/>
    <w:uiPriority w:val="99"/>
    <w:semiHidden/>
    <w:rPr>
      <w:sz w:val="20"/>
      <w:szCs w:val="20"/>
    </w:rPr>
  </w:style>
  <w:style w:type="character" w:customStyle="1" w:styleId="TextodegloboCar">
    <w:name w:val="Texto de globo Car"/>
    <w:basedOn w:val="Fuentedeprrafopredeter"/>
    <w:link w:val="Textodeglobo"/>
    <w:uiPriority w:val="99"/>
    <w:semiHidden/>
    <w:rPr>
      <w:rFonts w:ascii="Segoe UI" w:hAnsi="Segoe UI" w:cs="Segoe UI"/>
      <w:sz w:val="18"/>
      <w:szCs w:val="18"/>
    </w:rPr>
  </w:style>
  <w:style w:type="paragraph" w:customStyle="1" w:styleId="Revisin1">
    <w:name w:val="Revisión1"/>
    <w:hidden/>
    <w:uiPriority w:val="99"/>
    <w:semiHidden/>
  </w:style>
  <w:style w:type="character" w:customStyle="1" w:styleId="EncabezadoCar">
    <w:name w:val="Encabezado Car"/>
    <w:basedOn w:val="Fuentedeprrafopredeter"/>
    <w:link w:val="Encabezado"/>
    <w:uiPriority w:val="99"/>
  </w:style>
  <w:style w:type="character" w:customStyle="1" w:styleId="PiedepginaCar">
    <w:name w:val="Pie de página Car"/>
    <w:basedOn w:val="Fuentedeprrafopredeter"/>
    <w:link w:val="Piedepgina"/>
    <w:uiPriority w:val="99"/>
    <w:qFormat/>
  </w:style>
  <w:style w:type="table" w:customStyle="1" w:styleId="Style35">
    <w:name w:val="_Style 35"/>
    <w:basedOn w:val="TableNormal13"/>
    <w:qFormat/>
    <w:tblPr>
      <w:tblCellMar>
        <w:left w:w="70" w:type="dxa"/>
        <w:right w:w="70" w:type="dxa"/>
      </w:tblCellMar>
    </w:tblPr>
  </w:style>
  <w:style w:type="table" w:customStyle="1" w:styleId="Style36">
    <w:name w:val="_Style 36"/>
    <w:basedOn w:val="TableNormal13"/>
    <w:qFormat/>
    <w:tblPr>
      <w:tblCellMar>
        <w:left w:w="70" w:type="dxa"/>
        <w:right w:w="70" w:type="dxa"/>
      </w:tblCellMar>
    </w:tblPr>
  </w:style>
  <w:style w:type="table" w:customStyle="1" w:styleId="Style37">
    <w:name w:val="_Style 37"/>
    <w:basedOn w:val="TableNormal13"/>
    <w:tblPr>
      <w:tblCellMar>
        <w:top w:w="100" w:type="dxa"/>
        <w:left w:w="100" w:type="dxa"/>
        <w:bottom w:w="100" w:type="dxa"/>
        <w:right w:w="100" w:type="dxa"/>
      </w:tblCellMar>
    </w:tblPr>
  </w:style>
  <w:style w:type="table" w:customStyle="1" w:styleId="Style38">
    <w:name w:val="_Style 38"/>
    <w:basedOn w:val="TableNormal13"/>
    <w:qFormat/>
    <w:tblPr>
      <w:tblCellMar>
        <w:left w:w="70" w:type="dxa"/>
        <w:right w:w="70" w:type="dxa"/>
      </w:tblCellMar>
    </w:tblPr>
  </w:style>
  <w:style w:type="table" w:customStyle="1" w:styleId="Style39">
    <w:name w:val="_Style 39"/>
    <w:basedOn w:val="TableNormal13"/>
    <w:tblPr>
      <w:tblCellMar>
        <w:left w:w="70" w:type="dxa"/>
        <w:right w:w="70" w:type="dxa"/>
      </w:tblCellMar>
    </w:tblPr>
  </w:style>
  <w:style w:type="table" w:customStyle="1" w:styleId="Style40">
    <w:name w:val="_Style 40"/>
    <w:basedOn w:val="TableNormal13"/>
    <w:tblPr>
      <w:tblCellMar>
        <w:left w:w="70" w:type="dxa"/>
        <w:right w:w="70" w:type="dxa"/>
      </w:tblCellMar>
    </w:tblPr>
  </w:style>
  <w:style w:type="table" w:customStyle="1" w:styleId="Style41">
    <w:name w:val="_Style 41"/>
    <w:basedOn w:val="TableNormal13"/>
    <w:qFormat/>
    <w:tblPr>
      <w:tblCellMar>
        <w:left w:w="70" w:type="dxa"/>
        <w:right w:w="70" w:type="dxa"/>
      </w:tblCellMar>
    </w:tblPr>
  </w:style>
  <w:style w:type="table" w:customStyle="1" w:styleId="Style42">
    <w:name w:val="_Style 42"/>
    <w:basedOn w:val="TableNormal13"/>
    <w:qFormat/>
    <w:tblPr>
      <w:tblCellMar>
        <w:top w:w="100" w:type="dxa"/>
        <w:left w:w="100" w:type="dxa"/>
        <w:bottom w:w="100" w:type="dxa"/>
        <w:right w:w="100" w:type="dxa"/>
      </w:tblCellMar>
    </w:tblPr>
  </w:style>
  <w:style w:type="table" w:customStyle="1" w:styleId="Style43">
    <w:name w:val="_Style 43"/>
    <w:basedOn w:val="TableNormal13"/>
    <w:qFormat/>
    <w:tblPr>
      <w:tblCellMar>
        <w:top w:w="100" w:type="dxa"/>
        <w:left w:w="100" w:type="dxa"/>
        <w:bottom w:w="100" w:type="dxa"/>
        <w:right w:w="100" w:type="dxa"/>
      </w:tblCellMar>
    </w:tblPr>
  </w:style>
  <w:style w:type="table" w:customStyle="1" w:styleId="Style44">
    <w:name w:val="_Style 44"/>
    <w:basedOn w:val="TableNormal13"/>
    <w:tblPr>
      <w:tblCellMar>
        <w:left w:w="70" w:type="dxa"/>
        <w:right w:w="70" w:type="dxa"/>
      </w:tblCellMar>
    </w:tblPr>
  </w:style>
  <w:style w:type="paragraph" w:styleId="Prrafodelista">
    <w:name w:val="List Paragraph"/>
    <w:aliases w:val="List1,LISTA,Párrafo de lista2,Ha,Resume Title,Bullet List,FooterText,numbered,List Paragraph1,Paragraphe de liste1,lp1,HOJA,Colorful List Accent 1,Colorful List - Accent 11,titulo 3,Colorful List - Accent 111,Bullets"/>
    <w:basedOn w:val="Normal"/>
    <w:link w:val="PrrafodelistaCar"/>
    <w:uiPriority w:val="34"/>
    <w:qFormat/>
    <w:pPr>
      <w:ind w:left="720"/>
      <w:contextualSpacing/>
    </w:pPr>
  </w:style>
  <w:style w:type="table" w:customStyle="1" w:styleId="Style46">
    <w:name w:val="_Style 46"/>
    <w:basedOn w:val="TableNormal6"/>
    <w:tblPr>
      <w:tblCellMar>
        <w:top w:w="100" w:type="dxa"/>
        <w:left w:w="100" w:type="dxa"/>
        <w:bottom w:w="100" w:type="dxa"/>
        <w:right w:w="100" w:type="dxa"/>
      </w:tblCellMar>
    </w:tblPr>
  </w:style>
  <w:style w:type="table" w:customStyle="1" w:styleId="Style47">
    <w:name w:val="_Style 47"/>
    <w:basedOn w:val="TableNormal6"/>
    <w:tblPr>
      <w:tblCellMar>
        <w:top w:w="100" w:type="dxa"/>
        <w:left w:w="70" w:type="dxa"/>
        <w:bottom w:w="100" w:type="dxa"/>
        <w:right w:w="70" w:type="dxa"/>
      </w:tblCellMar>
    </w:tblPr>
  </w:style>
  <w:style w:type="table" w:customStyle="1" w:styleId="Style48">
    <w:name w:val="_Style 48"/>
    <w:basedOn w:val="TableNormal5"/>
    <w:tblPr>
      <w:tblCellMar>
        <w:top w:w="100" w:type="dxa"/>
        <w:left w:w="70" w:type="dxa"/>
        <w:bottom w:w="100" w:type="dxa"/>
        <w:right w:w="70" w:type="dxa"/>
      </w:tblCellMar>
    </w:tblPr>
  </w:style>
  <w:style w:type="table" w:customStyle="1" w:styleId="Style49">
    <w:name w:val="_Style 49"/>
    <w:basedOn w:val="TableNormal4"/>
    <w:qFormat/>
    <w:tblPr>
      <w:tblCellMar>
        <w:top w:w="100" w:type="dxa"/>
        <w:left w:w="70" w:type="dxa"/>
        <w:bottom w:w="100" w:type="dxa"/>
        <w:right w:w="70" w:type="dxa"/>
      </w:tblCellMar>
    </w:tblPr>
  </w:style>
  <w:style w:type="character" w:customStyle="1" w:styleId="TextonotapieCar">
    <w:name w:val="Texto nota pie Car"/>
    <w:basedOn w:val="Fuentedeprrafopredeter"/>
    <w:link w:val="Textonotapie"/>
    <w:uiPriority w:val="99"/>
    <w:semiHidden/>
    <w:rPr>
      <w:rFonts w:asciiTheme="minorHAnsi" w:eastAsiaTheme="minorHAnsi" w:hAnsiTheme="minorHAnsi" w:cstheme="minorBidi"/>
      <w:sz w:val="20"/>
      <w:szCs w:val="20"/>
      <w:lang w:val="es-CO" w:eastAsia="en-US"/>
    </w:rPr>
  </w:style>
  <w:style w:type="character" w:customStyle="1" w:styleId="Mencinsinresolver1">
    <w:name w:val="Mención sin resolver1"/>
    <w:basedOn w:val="Fuentedeprrafopredeter"/>
    <w:uiPriority w:val="99"/>
    <w:semiHidden/>
    <w:unhideWhenUsed/>
    <w:qFormat/>
    <w:rPr>
      <w:color w:val="605E5C"/>
      <w:shd w:val="clear" w:color="auto" w:fill="E1DFDD"/>
    </w:rPr>
  </w:style>
  <w:style w:type="table" w:customStyle="1" w:styleId="Style55">
    <w:name w:val="_Style 55"/>
    <w:basedOn w:val="TableNormal3"/>
    <w:qFormat/>
    <w:tblPr>
      <w:tblCellMar>
        <w:top w:w="100" w:type="dxa"/>
        <w:left w:w="70" w:type="dxa"/>
        <w:bottom w:w="100" w:type="dxa"/>
        <w:right w:w="70" w:type="dxa"/>
      </w:tblCellMar>
    </w:tblPr>
  </w:style>
  <w:style w:type="table" w:customStyle="1" w:styleId="Style56">
    <w:name w:val="_Style 56"/>
    <w:basedOn w:val="TableNormal3"/>
    <w:qFormat/>
    <w:tblPr>
      <w:tblCellMar>
        <w:top w:w="100" w:type="dxa"/>
        <w:left w:w="100" w:type="dxa"/>
        <w:bottom w:w="100" w:type="dxa"/>
        <w:right w:w="100" w:type="dxa"/>
      </w:tblCellMar>
    </w:tblPr>
  </w:style>
  <w:style w:type="table" w:customStyle="1" w:styleId="Style57">
    <w:name w:val="_Style 57"/>
    <w:basedOn w:val="TableNormal3"/>
    <w:qFormat/>
    <w:tblPr>
      <w:tblCellMar>
        <w:top w:w="100" w:type="dxa"/>
        <w:left w:w="100" w:type="dxa"/>
        <w:bottom w:w="100" w:type="dxa"/>
        <w:right w:w="100" w:type="dxa"/>
      </w:tblCellMar>
    </w:tblPr>
  </w:style>
  <w:style w:type="table" w:customStyle="1" w:styleId="Style58">
    <w:name w:val="_Style 58"/>
    <w:basedOn w:val="TableNormal3"/>
    <w:qFormat/>
    <w:tblPr>
      <w:tblCellMar>
        <w:top w:w="100" w:type="dxa"/>
        <w:left w:w="100" w:type="dxa"/>
        <w:bottom w:w="100" w:type="dxa"/>
        <w:right w:w="100" w:type="dxa"/>
      </w:tblCellMar>
    </w:tblPr>
  </w:style>
  <w:style w:type="table" w:customStyle="1" w:styleId="Style59">
    <w:name w:val="_Style 59"/>
    <w:basedOn w:val="TableNormal3"/>
    <w:qFormat/>
    <w:tblPr>
      <w:tblCellMar>
        <w:top w:w="100" w:type="dxa"/>
        <w:left w:w="70" w:type="dxa"/>
        <w:bottom w:w="100" w:type="dxa"/>
        <w:right w:w="70" w:type="dxa"/>
      </w:tblCellMar>
    </w:tblPr>
  </w:style>
  <w:style w:type="character" w:customStyle="1" w:styleId="apple-tab-span">
    <w:name w:val="apple-tab-span"/>
    <w:basedOn w:val="Fuentedeprrafopredeter"/>
  </w:style>
  <w:style w:type="table" w:customStyle="1" w:styleId="1">
    <w:name w:val="1"/>
    <w:basedOn w:val="TableNormal0"/>
    <w:tblPr>
      <w:tblStyleRowBandSize w:val="1"/>
      <w:tblStyleColBandSize w:val="1"/>
      <w:tblCellMar>
        <w:top w:w="100" w:type="dxa"/>
        <w:left w:w="70" w:type="dxa"/>
        <w:bottom w:w="100" w:type="dxa"/>
        <w:right w:w="70" w:type="dxa"/>
      </w:tblCellMar>
    </w:tblPr>
  </w:style>
  <w:style w:type="character" w:customStyle="1" w:styleId="NormalWebCar">
    <w:name w:val="Normal (Web) Car"/>
    <w:link w:val="NormalWeb"/>
    <w:uiPriority w:val="99"/>
    <w:locked/>
    <w:rsid w:val="00C0290A"/>
    <w:rPr>
      <w:rFonts w:ascii="Times New Roman" w:eastAsia="Times New Roman" w:hAnsi="Times New Roman" w:cs="Times New Roman"/>
      <w:lang w:val="es-CO"/>
    </w:rPr>
  </w:style>
  <w:style w:type="character" w:customStyle="1" w:styleId="PrrafodelistaCar">
    <w:name w:val="Párrafo de lista Car"/>
    <w:aliases w:val="List1 Car,LISTA Car,Párrafo de lista2 Car,Ha Car,Resume Title Car,Bullet List Car,FooterText Car,numbered Car,List Paragraph1 Car,Paragraphe de liste1 Car,lp1 Car,HOJA Car,Colorful List Accent 1 Car,Colorful List - Accent 11 Car"/>
    <w:link w:val="Prrafodelista"/>
    <w:uiPriority w:val="34"/>
    <w:qFormat/>
    <w:rsid w:val="00C0290A"/>
  </w:style>
  <w:style w:type="paragraph" w:customStyle="1" w:styleId="Sinespaciado1">
    <w:name w:val="Sin espaciado1"/>
    <w:uiPriority w:val="99"/>
    <w:qFormat/>
    <w:rsid w:val="00C0290A"/>
    <w:rPr>
      <w:rFonts w:ascii="Calibri" w:eastAsia="Calibri" w:hAnsi="Calibri" w:cs="Calibri"/>
      <w:sz w:val="22"/>
      <w:szCs w:val="22"/>
      <w:lang w:eastAsia="en-US"/>
    </w:rPr>
  </w:style>
  <w:style w:type="character" w:styleId="Textoennegrita">
    <w:name w:val="Strong"/>
    <w:basedOn w:val="Fuentedeprrafopredeter"/>
    <w:uiPriority w:val="22"/>
    <w:qFormat/>
    <w:rsid w:val="00E01158"/>
    <w:rPr>
      <w:b/>
      <w:bCs/>
    </w:rPr>
  </w:style>
  <w:style w:type="table" w:customStyle="1" w:styleId="a">
    <w:basedOn w:val="TableNormal0"/>
    <w:tblPr>
      <w:tblStyleRowBandSize w:val="1"/>
      <w:tblStyleColBandSize w:val="1"/>
      <w:tblCellMar>
        <w:top w:w="100" w:type="dxa"/>
        <w:left w:w="70" w:type="dxa"/>
        <w:bottom w:w="10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alcaldiabogota.gov.co/sisjur/normas/Norma1.jsp?dt=S&amp;i=73079" TargetMode="Externa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alcaldiabogota.gov.co/sisjur/normas/Norma1.jsp?dt=S&amp;i=118901" TargetMode="External"/><Relationship Id="rId14" Type="http://schemas.openxmlformats.org/officeDocument/2006/relationships/image" Target="media/image5.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Rzljp2B4JYZk42AjXb8pzNvLBA==">CgMxLjAikAIKC0FBQUJhTkt0UzY4EtsBCgtBQUFCYU5LdFM2OBILQUFBQmFOS3RTNjgaDQoJdGV4dC9odG1sEgAiDgoKdGV4dC9wbGFpbhIAKhsiFTEwOTQ5NDI0MTQwOTM3NzY2Njk4MygAOAAwnYuWtrsyOJ2Llra7Mko8CiRhcHBsaWNhdGlvbi92bmQuZ29vZ2xlLWFwcHMuZG9jcy5tZHMaFMLX2uQBDhoMCggKAjcuEAEYABABWgw1a2drdjlpeGpmcmhyAiAAeACCARNzdWdnZXN0LjNyeHEwa25sZmk4mgEGCAAQABgAsAEAuAEAGJ2Llra7MiCdi5a2uzIwAEITc3VnZ2VzdC4zcnhxMGtubGZpOCKSAgoLQUFBQmFOSm1EelUS3AEKC0FBQUJhTkptRHpVEgtBQUFCYU5KbUR6VRoNCgl0ZXh0L2h0bWwSACIOCgp0ZXh0L3BsYWluEgAqGyIVMTA5NDk0MjQxNDA5Mzc3NjY2OTgzKAA4ADDB6Na1uzI4wejWtbsySjwKJGFwcGxpY2F0aW9uL3ZuZC5nb29nbGUtYXBwcy5kb2NzLm1kcxoUwtfa5AEOGgwKCAoCMi4QARgAEAFaDDU0bDZqaGw0eGpkaXICIAB4AIIBFHN1Z2dlc3QuejB2b3V5MzdhemlymgEGCAAQABgAsAEAuAEAGMHo1rW7MiDB6Na1uzIwAEIUc3VnZ2VzdC56MHZvdXkzN2F6aXIiigIKC0FBQUJhTkt0UzdNEtQBCgtBQUFCYU5LdFM3TRILQUFBQmFOS3RTN00aDQoJdGV4dC9odG1sEgAiDgoKdGV4dC9wbGFpbhIAKhsiFTEwOTQ5NDI0MTQwOTM3NzY2Njk4MygAOAAw2peatrsyOICfmra7Mko0CiRhcHBsaWNhdGlvbi92bmQuZ29vZ2xlLWFwcHMuZG9jcy5tZHMaDMLX2uQBBiIECCAQAloMNDhuYzRkNmsyaGozcgIgAHgAggEUc3VnZ2VzdC5zOXFqNGNjajU5aG6aAQYIABAAGACwAQC4AQAY2peatrsyIICfmra7MjAAQhRzdWdnZXN0LnM5cWo0Y2NqNTlobiKQAgoLQUFBQmFOS3RTN1US2gEKC0FBQUJhTkt0UzdVEgtBQUFCYU5LdFM3VRoNCgl0ZXh0L2h0bWwSACIOCgp0ZXh0L3BsYWluEgAqGyIVMTA5NDk0MjQxNDA5Mzc3NjY2OTgzKAA4ADCb65q2uzI4gY+btrsySjoKJGFwcGxpY2F0aW9uL3ZuZC5nb29nbGUtYXBwcy5kb2NzLm1kcxoSwtfa5AEMGgoKBgoAEBMYABABWgxmdXpkYTd0ODc4YzJyAiAAeACCARRzdWdnZXN0LmVpa3U3OHJtMjQ0d5oBBggAEAAYALABALgBABib65q2uzIggY+btrsyMABCFHN1Z2dlc3QuZWlrdTc4cm0yNDR3IugDCgtBQUFCYU5LdFM3WRKyAwoLQUFBQmFOS3RTN1kSC0FBQUJhTkt0UzdZGg0KCXRleHQvaHRtbBIAIg4KCnRleHQvcGxhaW4SACobIhUxMDk0OTQyNDE0MDkzNzc2NjY5ODMoADgAMK77m7a7Mjjug5y2uzJKkQIKJGFwcGxpY2F0aW9uL3ZuZC5nb29nbGUtYXBwcy5kb2NzLm1kcxroAcLX2uQB4QEK3gEKbApm4oCcUG9yIEVsIEN1YWwgU2UgSW5jZW50aXZhbiBZIFJlY29ub2NlbiBMYXMgQWN0aXZpZGFkZXMgRGUgTG9zIEVzdGFibGVjaW1pZW50b3MgRGUgQ29tZXJjaW8gUXVlIEZhdm9yEAEYARJsCmbigJxQb3IgZWwgY3VhbCBzZSBpbmNlbnRpdmFuIHkgcmVjb25vY2VuIGxhcyBhY3RpdmlkYWRlcyBkZSBsb3MgZXN0YWJsZWNpbWllbnRvcyBkZSBjb21lcmNpbyBxdWUgZmF2b3IQARgBGAFaDHZ2Z2NvYWVzdXA2MHICIAB4AIIBFHN1Z2dlc3QuYjF6bWE0MmtndWU5mgEGCAAQABgAsAEAuAEAGK77m7a7MiDug5y2uzIwAEIUc3VnZ2VzdC5iMXptYTQya2d1ZTkilQIKC0FBQUJhTkptRHowEt8BCgtBQUFCYU5KbUR6MBILQUFBQmFOSm1EejAaDQoJdGV4dC9odG1sEgAiDgoKdGV4dC9wbGFpbhIAKhsiFTEwOTQ5NDI0MTQwOTM3NzY2Njk4MygAOAAwoNnotbsyOPnh6LW7Mko/CiRhcHBsaWNhdGlvbi92bmQuZ29vZ2xlLWFwcHMuZG9jcy5tZHMaF8LX2uQBERoPCgsKBTExMTExEAEYABABWgxjaGs5MWRqbWxjcG9yAiAAeACCARRzdWdnZXN0LmJsY2FzdGNsdnV4OZoBBggAEAAYALABALgBABig2ei1uzIg+eHotbsyMABCFHN1Z2dlc3QuYmxjYXN0Y2x2dXg5MghoLmdqZGd4czgAajYKFHN1Z2dlc3QuY3Y1NmJsZzg1am16Eh5NQVLDjUEgQUxFSkFORFJBIFZFTkVHQVMgQVZJTEFqNgoUc3VnZ2VzdC44bGRzZnk3OTl4d3MSHk1BUsONQSBBTEVKQU5EUkEgVkVORUdBUyBBVklMQWo2ChRzdWdnZXN0LjQ4bzdtNHd2cWFtORIeTUFSw41BIEFMRUpBTkRSQSBWRU5FR0FTIEFWSUxBajYKFHN1Z2dlc3QueWp1ZDkxb3Bna2htEh5NQVLDjUEgQUxFSkFORFJBIFZFTkVHQVMgQVZJTEFqNgoUc3VnZ2VzdC52dDJuMnpzMGJ4a3ISHk1BUsONQSBBTEVKQU5EUkEgVkVORUdBUyBBVklMQWo2ChRzdWdnZXN0LnR3bWRvcmZvaTJzNhIeTUFSw41BIEFMRUpBTkRSQSBWRU5FR0FTIEFWSUxBajYKFHN1Z2dlc3QubWdsZHFwZ3p4YjZqEh5NQVLDjUEgQUxFSkFORFJBIFZFTkVHQVMgQVZJTEFqNQoTc3VnZ2VzdC4zcnhxMGtubGZpOBIeTUFSw41BIEFMRUpBTkRSQSBWRU5FR0FTIEFWSUxBajUKE3N1Z2dlc3Qud21lZ2N2Y21hZHMSHk1BUsONQSBBTEVKQU5EUkEgVkVORUdBUyBBVklMQWo2ChRzdWdnZXN0LnZwNnRmbTJkZGlmNhIeTUFSw41BIEFMRUpBTkRSQSBWRU5FR0FTIEFWSUxBajYKFHN1Z2dlc3QuejB2b3V5MzdhemlyEh5NQVLDjUEgQUxFSkFORFJBIFZFTkVHQVMgQVZJTEFqNgoUc3VnZ2VzdC40czk0azM2bDZiYXYSHk1BUsONQSBBTEVKQU5EUkEgVkVORUdBUyBBVklMQWo2ChRzdWdnZXN0Ljc0cnZqd3lpanVxZhIeTUFSw41BIEFMRUpBTkRSQSBWRU5FR0FTIEFWSUxBajYKFHN1Z2dlc3QuMno2cWF1ZmFydXN2Eh5NQVLDjUEgQUxFSkFORFJBIFZFTkVHQVMgQVZJTEFqNgoUc3VnZ2VzdC5zbGI1a3VycjBxMmISHk1BUsONQSBBTEVKQU5EUkEgVkVORUdBUyBBVklMQWo2ChRzdWdnZXN0LnRycnA2b2ZvNDZtbBIeTUFSw41BIEFMRUpBTkRSQSBWRU5FR0FTIEFWSUxBajYKFHN1Z2dlc3QucGQ5dTlhYWR6cTBkEh5NQVLDjUEgQUxFSkFORFJBIFZFTkVHQVMgQVZJTEFqNgoUc3VnZ2VzdC5mY2dncnozeXd6dWsSHk1BUsONQSBBTEVKQU5EUkEgVkVORUdBUyBBVklMQWo2ChRzdWdnZXN0LjhyaGFwc3JmdmlhMhIeTUFSw41BIEFMRUpBTkRSQSBWRU5FR0FTIEFWSUxBajYKFHN1Z2dlc3Qubzl0ZnVxMWNtNGI1Eh5NQVLDjUEgQUxFSkFORFJBIFZFTkVHQVMgQVZJTEFqNgoUc3VnZ2VzdC5pMnB6aWRqem9ma2cSHk1BUsONQSBBTEVKQU5EUkEgVkVORUdBUyBBVklMQWo2ChRzdWdnZXN0LjR5Nm0weWZ6Z3kwZBIeTUFSw41BIEFMRUpBTkRSQSBWRU5FR0FTIEFWSUxBajYKFHN1Z2dlc3QuNmcwZnNiNmh2NHNuEh5NQVLDjUEgQUxFSkFORFJBIFZFTkVHQVMgQVZJTEFqNgoUc3VnZ2VzdC5yYmZoczdqc3A1dXASHk1BUsONQSBBTEVKQU5EUkEgVkVORUdBUyBBVklMQWo2ChRzdWdnZXN0LmU2dWxmdnMydWVzYhIeTUFSw41BIEFMRUpBTkRSQSBWRU5FR0FTIEFWSUxBajYKFHN1Z2dlc3QuczlxajRjY2o1OWhuEh5NQVLDjUEgQUxFSkFORFJBIFZFTkVHQVMgQVZJTEFqNgoUc3VnZ2VzdC40dmg3MTdscHV4OG8SHk1BUsONQSBBTEVKQU5EUkEgVkVORUdBUyBBVklMQWo2ChRzdWdnZXN0Lm0xenRlMWxwdGVibBIeTUFSw41BIEFMRUpBTkRSQSBWRU5FR0FTIEFWSUxBajYKFHN1Z2dlc3QudG13dXBoNjZucTZlEh5NQVLDjUEgQUxFSkFORFJBIFZFTkVHQVMgQVZJTEFqNgoUc3VnZ2VzdC5laWt1NzhybTI0NHcSHk1BUsONQSBBTEVKQU5EUkEgVkVORUdBUyBBVklMQWo2ChRzdWdnZXN0Lmh6ZW8yYjVpd2p4cxIeTUFSw41BIEFMRUpBTkRSQSBWRU5FR0FTIEFWSUxBajYKFHN1Z2dlc3QuYjF6bWE0MmtndWU5Eh5NQVLDjUEgQUxFSkFORFJBIFZFTkVHQVMgQVZJTEFqNgoUc3VnZ2VzdC5na2trZ2RwZWRsMXoSHk1BUsONQSBBTEVKQU5EUkEgVkVORUdBUyBBVklMQWo2ChRzdWdnZXN0LjVid2xiY2RkZmZ1bxIeTUFSw41BIEFMRUpBTkRSQSBWRU5FR0FTIEFWSUxBajYKFHN1Z2dlc3QuNDh6ZWk1NzB6OHQ0Eh5NQVLDjUEgQUxFSkFORFJBIFZFTkVHQVMgQVZJTEFqNgoUc3VnZ2VzdC52amhvYjh3eXVyczESHk1BUsONQSBBTEVKQU5EUkEgVkVORUdBUyBBVklMQWo2ChRzdWdnZXN0LndyeXppN3l0OXdsdxIeTUFSw41BIEFMRUpBTkRSQSBWRU5FR0FTIEFWSUxBajYKFHN1Z2dlc3QudTdjbXZqbjdmZTA1Eh5NQVLDjUEgQUxFSkFORFJBIFZFTkVHQVMgQVZJTEFqNgoUc3VnZ2VzdC5oZHo0Z3A1d3hsbXESHk1BUsONQSBBTEVKQU5EUkEgVkVORUdBUyBBVklMQWo2ChRzdWdnZXN0Lng1bm1hMmJuYTZpcxIeTUFSw41BIEFMRUpBTkRSQSBWRU5FR0FTIEFWSUxBajYKFHN1Z2dlc3QuYmxjYXN0Y2x2dXg5Eh5NQVLDjUEgQUxFSkFORFJBIFZFTkVHQVMgQVZJTEFqNgoUc3VnZ2VzdC5zZXEwaWl1N2U3ZmwSHk1BUsONQSBBTEVKQU5EUkEgVkVORUdBUyBBVklMQWo2ChRzdWdnZXN0LmxkaW11cmNod25jZRIeTUFSw41BIEFMRUpBTkRSQSBWRU5FR0FTIEFWSUxBajYKFHN1Z2dlc3QucG81OXI0bTZrYjVwEh5NQVLDjUEgQUxFSkFORFJBIFZFTkVHQVMgQVZJTEFqNgoUc3VnZ2VzdC51a25vZXdrZDlhb3USHk1BUsONQSBBTEVKQU5EUkEgVkVORUdBUyBBVklMQWo2ChRzdWdnZXN0LjFiOWxoOWttejl1aRIeTUFSw41BIEFMRUpBTkRSQSBWRU5FR0FTIEFWSUxBciExU2owMTUtNUFIaV9FR3JIUnQ5bHZVSVhiYXcxM0NRRH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5024</Words>
  <Characters>27633</Characters>
  <Application>Microsoft Office Word</Application>
  <DocSecurity>0</DocSecurity>
  <Lines>230</Lines>
  <Paragraphs>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SERGIO ALEXANDER MARTINEZ LOPEZ</dc:creator>
  <cp:lastModifiedBy>ELIAS APONTE BUSTAMANTE</cp:lastModifiedBy>
  <cp:revision>2</cp:revision>
  <dcterms:created xsi:type="dcterms:W3CDTF">2025-04-21T16:54:00Z</dcterms:created>
  <dcterms:modified xsi:type="dcterms:W3CDTF">2025-04-21T16:54:00Z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DB3E1539F2A74781B823986C798F86C7_12</vt:lpwstr>
  </property>
</Properties>
</file>